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94EA7" w:rsidTr="0032609C">
        <w:tc>
          <w:tcPr>
            <w:tcW w:w="9071" w:type="dxa"/>
            <w:tcBorders>
              <w:top w:val="single" w:sz="4" w:space="0" w:color="auto"/>
              <w:left w:val="single" w:sz="4" w:space="0" w:color="auto"/>
              <w:bottom w:val="single" w:sz="4" w:space="0" w:color="auto"/>
              <w:right w:val="single" w:sz="4" w:space="0" w:color="auto"/>
            </w:tcBorders>
          </w:tcPr>
          <w:p w:rsidR="00594EA7" w:rsidRDefault="00594EA7" w:rsidP="0032609C">
            <w:pPr>
              <w:pStyle w:val="ConsPlusNormal"/>
              <w:jc w:val="center"/>
            </w:pPr>
            <w:r>
              <w:t>ФЕДЕРАЛЬНОЕ СТАТИСТИЧЕСКОЕ НАБЛЮДЕНИЕ</w:t>
            </w:r>
          </w:p>
        </w:tc>
      </w:tr>
    </w:tbl>
    <w:p w:rsidR="00594EA7" w:rsidRDefault="00594EA7" w:rsidP="00594E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94EA7" w:rsidTr="0032609C">
        <w:tc>
          <w:tcPr>
            <w:tcW w:w="9071" w:type="dxa"/>
            <w:tcBorders>
              <w:top w:val="single" w:sz="4" w:space="0" w:color="auto"/>
              <w:left w:val="single" w:sz="4" w:space="0" w:color="auto"/>
              <w:bottom w:val="single" w:sz="4" w:space="0" w:color="auto"/>
              <w:right w:val="single" w:sz="4" w:space="0" w:color="auto"/>
            </w:tcBorders>
          </w:tcPr>
          <w:p w:rsidR="00594EA7" w:rsidRDefault="00594EA7" w:rsidP="0032609C">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5" w:history="1">
              <w:r>
                <w:rPr>
                  <w:color w:val="0000FF"/>
                </w:rPr>
                <w:t>Кодексом</w:t>
              </w:r>
            </w:hyperlink>
            <w:r>
              <w:t xml:space="preserve"> Российской Федерации об административных правонарушениях</w:t>
            </w:r>
          </w:p>
        </w:tc>
      </w:tr>
    </w:tbl>
    <w:p w:rsidR="00594EA7" w:rsidRDefault="00594EA7" w:rsidP="00594E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94EA7" w:rsidTr="0032609C">
        <w:tc>
          <w:tcPr>
            <w:tcW w:w="9071" w:type="dxa"/>
            <w:tcBorders>
              <w:top w:val="single" w:sz="4" w:space="0" w:color="auto"/>
              <w:left w:val="single" w:sz="4" w:space="0" w:color="auto"/>
              <w:bottom w:val="single" w:sz="4" w:space="0" w:color="auto"/>
              <w:right w:val="single" w:sz="4" w:space="0" w:color="auto"/>
            </w:tcBorders>
          </w:tcPr>
          <w:p w:rsidR="00594EA7" w:rsidRDefault="00594EA7" w:rsidP="0032609C">
            <w:pPr>
              <w:pStyle w:val="ConsPlusNormal"/>
              <w:jc w:val="center"/>
            </w:pPr>
            <w:bookmarkStart w:id="0" w:name="P910"/>
            <w:bookmarkEnd w:id="0"/>
            <w:r>
              <w:t>ПОКАЗАТЕЛИ ДЛЯ ОЦЕНКИ ЭФФЕКТИВНОСТИ ДЕЯТЕЛЬНОСТИ ОРГАНОВ МЕСТНОГО САМОУПРАВЛЕНИЯ МУНИЦИПАЛЬНЫХ, ГОРОДСКИХ ОКРУГОВ И МУНИЦИПАЛЬНЫХ РАЙОНОВ</w:t>
            </w:r>
          </w:p>
          <w:p w:rsidR="00594EA7" w:rsidRDefault="00594EA7" w:rsidP="0032609C">
            <w:pPr>
              <w:pStyle w:val="ConsPlusNormal"/>
              <w:jc w:val="center"/>
            </w:pPr>
            <w:r>
              <w:t>по состоянию на 31 декабря 20__ года</w:t>
            </w:r>
          </w:p>
        </w:tc>
      </w:tr>
    </w:tbl>
    <w:p w:rsidR="00594EA7" w:rsidRDefault="00594EA7" w:rsidP="00594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594EA7" w:rsidTr="0032609C">
        <w:tc>
          <w:tcPr>
            <w:tcW w:w="4365" w:type="dxa"/>
          </w:tcPr>
          <w:p w:rsidR="00594EA7" w:rsidRDefault="00594EA7" w:rsidP="0032609C">
            <w:pPr>
              <w:pStyle w:val="ConsPlusNormal"/>
              <w:jc w:val="center"/>
            </w:pPr>
            <w:r>
              <w:t>Предоставляют:</w:t>
            </w:r>
          </w:p>
        </w:tc>
        <w:tc>
          <w:tcPr>
            <w:tcW w:w="1757" w:type="dxa"/>
          </w:tcPr>
          <w:p w:rsidR="00594EA7" w:rsidRDefault="00594EA7" w:rsidP="0032609C">
            <w:pPr>
              <w:pStyle w:val="ConsPlusNormal"/>
              <w:jc w:val="center"/>
            </w:pPr>
            <w:r>
              <w:t>Сроки предоставления</w:t>
            </w:r>
          </w:p>
        </w:tc>
        <w:tc>
          <w:tcPr>
            <w:tcW w:w="340" w:type="dxa"/>
            <w:tcBorders>
              <w:top w:val="nil"/>
              <w:bottom w:val="nil"/>
            </w:tcBorders>
          </w:tcPr>
          <w:p w:rsidR="00594EA7" w:rsidRDefault="00594EA7" w:rsidP="0032609C">
            <w:pPr>
              <w:pStyle w:val="ConsPlusNormal"/>
            </w:pPr>
          </w:p>
        </w:tc>
        <w:tc>
          <w:tcPr>
            <w:tcW w:w="2608" w:type="dxa"/>
          </w:tcPr>
          <w:p w:rsidR="00594EA7" w:rsidRDefault="00594EA7" w:rsidP="0032609C">
            <w:pPr>
              <w:pStyle w:val="ConsPlusNormal"/>
              <w:jc w:val="center"/>
            </w:pPr>
            <w:r>
              <w:t xml:space="preserve">Приложение к </w:t>
            </w:r>
            <w:hyperlink w:anchor="P35" w:history="1">
              <w:r>
                <w:rPr>
                  <w:color w:val="0000FF"/>
                </w:rPr>
                <w:t>форме</w:t>
              </w:r>
            </w:hyperlink>
            <w:r>
              <w:t xml:space="preserve"> N 1-МО</w:t>
            </w:r>
          </w:p>
        </w:tc>
      </w:tr>
      <w:tr w:rsidR="00594EA7" w:rsidTr="0032609C">
        <w:tblPrEx>
          <w:tblBorders>
            <w:right w:val="nil"/>
          </w:tblBorders>
        </w:tblPrEx>
        <w:tc>
          <w:tcPr>
            <w:tcW w:w="4365" w:type="dxa"/>
            <w:vMerge w:val="restart"/>
          </w:tcPr>
          <w:p w:rsidR="00594EA7" w:rsidRDefault="00594EA7" w:rsidP="0032609C">
            <w:pPr>
              <w:pStyle w:val="ConsPlusNormal"/>
            </w:pPr>
            <w:r>
              <w:t>органы местного самоуправления муниципальных, городских округов и муниципальных районов, наделенные исполнительными полномочиями:</w:t>
            </w:r>
          </w:p>
          <w:p w:rsidR="00594EA7" w:rsidRDefault="00594EA7" w:rsidP="0032609C">
            <w:pPr>
              <w:pStyle w:val="ConsPlusNormal"/>
              <w:ind w:left="283"/>
              <w:jc w:val="both"/>
            </w:pPr>
            <w:r>
              <w:t>- территориальному органу Росстата в субъекте Российской Федерации по установленному им адресу</w:t>
            </w:r>
          </w:p>
        </w:tc>
        <w:tc>
          <w:tcPr>
            <w:tcW w:w="1757" w:type="dxa"/>
            <w:vMerge w:val="restart"/>
          </w:tcPr>
          <w:p w:rsidR="00594EA7" w:rsidRDefault="00594EA7" w:rsidP="0032609C">
            <w:pPr>
              <w:pStyle w:val="ConsPlusNormal"/>
              <w:jc w:val="center"/>
            </w:pPr>
            <w:r>
              <w:t>30 апреля</w:t>
            </w:r>
          </w:p>
        </w:tc>
        <w:tc>
          <w:tcPr>
            <w:tcW w:w="340" w:type="dxa"/>
            <w:vMerge w:val="restart"/>
            <w:tcBorders>
              <w:top w:val="nil"/>
              <w:bottom w:val="nil"/>
              <w:right w:val="nil"/>
            </w:tcBorders>
          </w:tcPr>
          <w:p w:rsidR="00594EA7" w:rsidRDefault="00594EA7" w:rsidP="0032609C">
            <w:pPr>
              <w:pStyle w:val="ConsPlusNormal"/>
            </w:pPr>
          </w:p>
        </w:tc>
        <w:tc>
          <w:tcPr>
            <w:tcW w:w="2608" w:type="dxa"/>
            <w:tcBorders>
              <w:left w:val="nil"/>
              <w:right w:val="nil"/>
            </w:tcBorders>
          </w:tcPr>
          <w:p w:rsidR="00594EA7" w:rsidRDefault="00594EA7" w:rsidP="0032609C">
            <w:pPr>
              <w:pStyle w:val="ConsPlusNormal"/>
              <w:jc w:val="center"/>
            </w:pPr>
            <w:r>
              <w:t>Приказ Росстата:</w:t>
            </w:r>
          </w:p>
          <w:p w:rsidR="00594EA7" w:rsidRDefault="00594EA7" w:rsidP="0032609C">
            <w:pPr>
              <w:pStyle w:val="ConsPlusNormal"/>
              <w:jc w:val="center"/>
            </w:pPr>
            <w:r>
              <w:t>Об утверждении формы</w:t>
            </w:r>
          </w:p>
          <w:p w:rsidR="00594EA7" w:rsidRDefault="00594EA7" w:rsidP="0032609C">
            <w:pPr>
              <w:pStyle w:val="ConsPlusNormal"/>
              <w:jc w:val="center"/>
            </w:pPr>
            <w:r>
              <w:t>от __________ N ___</w:t>
            </w:r>
          </w:p>
          <w:p w:rsidR="00594EA7" w:rsidRDefault="00594EA7" w:rsidP="0032609C">
            <w:pPr>
              <w:pStyle w:val="ConsPlusNormal"/>
              <w:jc w:val="center"/>
            </w:pPr>
            <w:r>
              <w:t>О внесении изменений (при наличии)</w:t>
            </w:r>
          </w:p>
          <w:p w:rsidR="00594EA7" w:rsidRDefault="00594EA7" w:rsidP="0032609C">
            <w:pPr>
              <w:pStyle w:val="ConsPlusNormal"/>
              <w:jc w:val="center"/>
            </w:pPr>
            <w:r>
              <w:t>от __________ N ___</w:t>
            </w:r>
          </w:p>
          <w:p w:rsidR="00594EA7" w:rsidRDefault="00594EA7" w:rsidP="0032609C">
            <w:pPr>
              <w:pStyle w:val="ConsPlusNormal"/>
              <w:jc w:val="center"/>
            </w:pPr>
            <w:r>
              <w:t>от __________ N ___</w:t>
            </w:r>
          </w:p>
        </w:tc>
      </w:tr>
      <w:tr w:rsidR="00594EA7" w:rsidTr="0032609C">
        <w:tc>
          <w:tcPr>
            <w:tcW w:w="4365" w:type="dxa"/>
            <w:vMerge/>
          </w:tcPr>
          <w:p w:rsidR="00594EA7" w:rsidRDefault="00594EA7" w:rsidP="0032609C"/>
        </w:tc>
        <w:tc>
          <w:tcPr>
            <w:tcW w:w="1757" w:type="dxa"/>
            <w:vMerge/>
          </w:tcPr>
          <w:p w:rsidR="00594EA7" w:rsidRDefault="00594EA7" w:rsidP="0032609C"/>
        </w:tc>
        <w:tc>
          <w:tcPr>
            <w:tcW w:w="340" w:type="dxa"/>
            <w:vMerge/>
            <w:tcBorders>
              <w:top w:val="nil"/>
              <w:bottom w:val="nil"/>
              <w:right w:val="nil"/>
            </w:tcBorders>
          </w:tcPr>
          <w:p w:rsidR="00594EA7" w:rsidRDefault="00594EA7" w:rsidP="0032609C"/>
        </w:tc>
        <w:tc>
          <w:tcPr>
            <w:tcW w:w="2608" w:type="dxa"/>
          </w:tcPr>
          <w:p w:rsidR="00594EA7" w:rsidRDefault="00594EA7" w:rsidP="0032609C">
            <w:pPr>
              <w:pStyle w:val="ConsPlusNormal"/>
              <w:jc w:val="center"/>
            </w:pPr>
            <w:r>
              <w:t>Годовая</w:t>
            </w:r>
          </w:p>
        </w:tc>
      </w:tr>
    </w:tbl>
    <w:p w:rsidR="00594EA7" w:rsidRDefault="00594EA7" w:rsidP="00594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594EA7" w:rsidTr="0032609C">
        <w:tc>
          <w:tcPr>
            <w:tcW w:w="9070" w:type="dxa"/>
            <w:gridSpan w:val="4"/>
          </w:tcPr>
          <w:p w:rsidR="00594EA7" w:rsidRDefault="00594EA7" w:rsidP="0032609C">
            <w:pPr>
              <w:pStyle w:val="ConsPlusNormal"/>
              <w:jc w:val="both"/>
            </w:pPr>
            <w:r>
              <w:t>Наименование отчитывающейся организации ______________________________</w:t>
            </w:r>
          </w:p>
        </w:tc>
      </w:tr>
      <w:tr w:rsidR="00594EA7" w:rsidTr="0032609C">
        <w:tc>
          <w:tcPr>
            <w:tcW w:w="9070" w:type="dxa"/>
            <w:gridSpan w:val="4"/>
          </w:tcPr>
          <w:p w:rsidR="00594EA7" w:rsidRDefault="00594EA7" w:rsidP="0032609C">
            <w:pPr>
              <w:pStyle w:val="ConsPlusNormal"/>
              <w:jc w:val="both"/>
            </w:pPr>
            <w:bookmarkStart w:id="1" w:name="P930"/>
            <w:bookmarkEnd w:id="1"/>
            <w:r>
              <w:t>Почтовый адрес _____________________________________________________</w:t>
            </w:r>
          </w:p>
        </w:tc>
      </w:tr>
      <w:tr w:rsidR="00594EA7" w:rsidTr="0032609C">
        <w:tc>
          <w:tcPr>
            <w:tcW w:w="1134" w:type="dxa"/>
            <w:vMerge w:val="restart"/>
          </w:tcPr>
          <w:p w:rsidR="00594EA7" w:rsidRDefault="00594EA7" w:rsidP="0032609C">
            <w:pPr>
              <w:pStyle w:val="ConsPlusNormal"/>
              <w:jc w:val="center"/>
            </w:pPr>
            <w:bookmarkStart w:id="2" w:name="P931"/>
            <w:bookmarkEnd w:id="2"/>
            <w:r>
              <w:t xml:space="preserve">Код Формы по </w:t>
            </w:r>
            <w:hyperlink r:id="rId6" w:history="1">
              <w:r>
                <w:rPr>
                  <w:color w:val="0000FF"/>
                </w:rPr>
                <w:t>ОКУД</w:t>
              </w:r>
            </w:hyperlink>
          </w:p>
        </w:tc>
        <w:tc>
          <w:tcPr>
            <w:tcW w:w="7936" w:type="dxa"/>
            <w:gridSpan w:val="3"/>
          </w:tcPr>
          <w:p w:rsidR="00594EA7" w:rsidRDefault="00594EA7" w:rsidP="0032609C">
            <w:pPr>
              <w:pStyle w:val="ConsPlusNormal"/>
              <w:jc w:val="center"/>
            </w:pPr>
            <w:r>
              <w:t>Код</w:t>
            </w:r>
          </w:p>
        </w:tc>
      </w:tr>
      <w:tr w:rsidR="00594EA7" w:rsidTr="0032609C">
        <w:tc>
          <w:tcPr>
            <w:tcW w:w="1134" w:type="dxa"/>
            <w:vMerge/>
          </w:tcPr>
          <w:p w:rsidR="00594EA7" w:rsidRDefault="00594EA7" w:rsidP="0032609C"/>
        </w:tc>
        <w:tc>
          <w:tcPr>
            <w:tcW w:w="3288" w:type="dxa"/>
          </w:tcPr>
          <w:p w:rsidR="00594EA7" w:rsidRDefault="00594EA7" w:rsidP="0032609C">
            <w:pPr>
              <w:pStyle w:val="ConsPlusNormal"/>
              <w:jc w:val="center"/>
            </w:pPr>
            <w:r>
              <w:t>отчитывающейся организации по ОКПО</w:t>
            </w:r>
          </w:p>
        </w:tc>
        <w:tc>
          <w:tcPr>
            <w:tcW w:w="2324" w:type="dxa"/>
          </w:tcPr>
          <w:p w:rsidR="00594EA7" w:rsidRDefault="00594EA7" w:rsidP="0032609C">
            <w:pPr>
              <w:pStyle w:val="ConsPlusNormal"/>
              <w:jc w:val="center"/>
            </w:pPr>
            <w:r>
              <w:t xml:space="preserve">муниципального образования по локальному </w:t>
            </w:r>
            <w:hyperlink r:id="rId7" w:history="1">
              <w:r>
                <w:rPr>
                  <w:color w:val="0000FF"/>
                </w:rPr>
                <w:t>классификатору</w:t>
              </w:r>
            </w:hyperlink>
            <w:r>
              <w:t xml:space="preserve"> типов муниципального образования</w:t>
            </w:r>
          </w:p>
        </w:tc>
        <w:tc>
          <w:tcPr>
            <w:tcW w:w="2324" w:type="dxa"/>
          </w:tcPr>
          <w:p w:rsidR="00594EA7" w:rsidRDefault="00594EA7" w:rsidP="0032609C">
            <w:pPr>
              <w:pStyle w:val="ConsPlusNormal"/>
              <w:jc w:val="center"/>
            </w:pPr>
            <w:hyperlink r:id="rId8" w:history="1">
              <w:r>
                <w:rPr>
                  <w:color w:val="0000FF"/>
                </w:rPr>
                <w:t>ОКТМО</w:t>
              </w:r>
            </w:hyperlink>
            <w:r>
              <w:t xml:space="preserve"> муниципального образования, за которое предоставляется отчет</w:t>
            </w:r>
          </w:p>
        </w:tc>
      </w:tr>
      <w:tr w:rsidR="00594EA7" w:rsidTr="0032609C">
        <w:tc>
          <w:tcPr>
            <w:tcW w:w="1134" w:type="dxa"/>
          </w:tcPr>
          <w:p w:rsidR="00594EA7" w:rsidRDefault="00594EA7" w:rsidP="0032609C">
            <w:pPr>
              <w:pStyle w:val="ConsPlusNormal"/>
              <w:jc w:val="center"/>
            </w:pPr>
            <w:r>
              <w:t>1</w:t>
            </w:r>
          </w:p>
        </w:tc>
        <w:tc>
          <w:tcPr>
            <w:tcW w:w="3288" w:type="dxa"/>
          </w:tcPr>
          <w:p w:rsidR="00594EA7" w:rsidRDefault="00594EA7" w:rsidP="0032609C">
            <w:pPr>
              <w:pStyle w:val="ConsPlusNormal"/>
              <w:jc w:val="center"/>
            </w:pPr>
            <w:r>
              <w:t>2</w:t>
            </w:r>
          </w:p>
        </w:tc>
        <w:tc>
          <w:tcPr>
            <w:tcW w:w="2324" w:type="dxa"/>
          </w:tcPr>
          <w:p w:rsidR="00594EA7" w:rsidRDefault="00594EA7" w:rsidP="0032609C">
            <w:pPr>
              <w:pStyle w:val="ConsPlusNormal"/>
              <w:jc w:val="center"/>
            </w:pPr>
            <w:bookmarkStart w:id="3" w:name="P938"/>
            <w:bookmarkEnd w:id="3"/>
            <w:r>
              <w:t>3</w:t>
            </w:r>
          </w:p>
        </w:tc>
        <w:tc>
          <w:tcPr>
            <w:tcW w:w="2324" w:type="dxa"/>
          </w:tcPr>
          <w:p w:rsidR="00594EA7" w:rsidRDefault="00594EA7" w:rsidP="0032609C">
            <w:pPr>
              <w:pStyle w:val="ConsPlusNormal"/>
              <w:jc w:val="center"/>
            </w:pPr>
            <w:bookmarkStart w:id="4" w:name="P939"/>
            <w:bookmarkEnd w:id="4"/>
            <w:r>
              <w:t>4</w:t>
            </w:r>
          </w:p>
        </w:tc>
      </w:tr>
      <w:tr w:rsidR="00594EA7" w:rsidTr="0032609C">
        <w:tc>
          <w:tcPr>
            <w:tcW w:w="1134" w:type="dxa"/>
          </w:tcPr>
          <w:p w:rsidR="00594EA7" w:rsidRDefault="00594EA7" w:rsidP="0032609C">
            <w:pPr>
              <w:pStyle w:val="ConsPlusNormal"/>
              <w:jc w:val="center"/>
            </w:pPr>
            <w:r>
              <w:t>0601023</w:t>
            </w:r>
          </w:p>
        </w:tc>
        <w:tc>
          <w:tcPr>
            <w:tcW w:w="3288" w:type="dxa"/>
          </w:tcPr>
          <w:p w:rsidR="00594EA7" w:rsidRDefault="00594EA7" w:rsidP="0032609C">
            <w:pPr>
              <w:pStyle w:val="ConsPlusNormal"/>
            </w:pPr>
          </w:p>
        </w:tc>
        <w:tc>
          <w:tcPr>
            <w:tcW w:w="2324" w:type="dxa"/>
          </w:tcPr>
          <w:p w:rsidR="00594EA7" w:rsidRDefault="00594EA7" w:rsidP="0032609C">
            <w:pPr>
              <w:pStyle w:val="ConsPlusNormal"/>
            </w:pPr>
          </w:p>
        </w:tc>
        <w:tc>
          <w:tcPr>
            <w:tcW w:w="2324" w:type="dxa"/>
          </w:tcPr>
          <w:p w:rsidR="00594EA7" w:rsidRDefault="00594EA7" w:rsidP="0032609C">
            <w:pPr>
              <w:pStyle w:val="ConsPlusNormal"/>
            </w:pPr>
          </w:p>
        </w:tc>
      </w:tr>
    </w:tbl>
    <w:p w:rsidR="00594EA7" w:rsidRDefault="00594EA7" w:rsidP="00594EA7">
      <w:pPr>
        <w:pStyle w:val="ConsPlusNormal"/>
        <w:jc w:val="both"/>
      </w:pPr>
    </w:p>
    <w:p w:rsidR="00594EA7" w:rsidRDefault="00594EA7">
      <w:pPr>
        <w:rPr>
          <w:rFonts w:ascii="Calibri" w:eastAsia="Times New Roman" w:hAnsi="Calibri" w:cs="Calibri"/>
          <w:szCs w:val="20"/>
          <w:lang w:eastAsia="ru-RU"/>
        </w:rPr>
      </w:pPr>
      <w:r>
        <w:br w:type="page"/>
      </w:r>
    </w:p>
    <w:p w:rsidR="00594EA7" w:rsidRDefault="00594EA7" w:rsidP="00594EA7">
      <w:pPr>
        <w:pStyle w:val="ConsPlusNormal"/>
        <w:jc w:val="both"/>
      </w:pPr>
      <w:bookmarkStart w:id="5" w:name="_GoBack"/>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5669"/>
        <w:gridCol w:w="1304"/>
        <w:gridCol w:w="1191"/>
      </w:tblGrid>
      <w:tr w:rsidR="00594EA7" w:rsidTr="0032609C">
        <w:tc>
          <w:tcPr>
            <w:tcW w:w="893" w:type="dxa"/>
          </w:tcPr>
          <w:p w:rsidR="00594EA7" w:rsidRDefault="00594EA7" w:rsidP="0032609C">
            <w:pPr>
              <w:pStyle w:val="ConsPlusNormal"/>
              <w:jc w:val="center"/>
            </w:pPr>
            <w:r>
              <w:t>N строки</w:t>
            </w:r>
          </w:p>
        </w:tc>
        <w:tc>
          <w:tcPr>
            <w:tcW w:w="5669" w:type="dxa"/>
          </w:tcPr>
          <w:p w:rsidR="00594EA7" w:rsidRDefault="00594EA7" w:rsidP="0032609C">
            <w:pPr>
              <w:pStyle w:val="ConsPlusNormal"/>
              <w:jc w:val="center"/>
            </w:pPr>
            <w:r>
              <w:t>Наименование показателя</w:t>
            </w:r>
          </w:p>
        </w:tc>
        <w:tc>
          <w:tcPr>
            <w:tcW w:w="1304" w:type="dxa"/>
          </w:tcPr>
          <w:p w:rsidR="00594EA7" w:rsidRDefault="00594EA7" w:rsidP="0032609C">
            <w:pPr>
              <w:pStyle w:val="ConsPlusNormal"/>
              <w:jc w:val="center"/>
            </w:pPr>
            <w:r>
              <w:t>Единица измерения</w:t>
            </w:r>
          </w:p>
        </w:tc>
        <w:tc>
          <w:tcPr>
            <w:tcW w:w="1191" w:type="dxa"/>
          </w:tcPr>
          <w:p w:rsidR="00594EA7" w:rsidRDefault="00594EA7" w:rsidP="0032609C">
            <w:pPr>
              <w:pStyle w:val="ConsPlusNormal"/>
              <w:jc w:val="center"/>
            </w:pPr>
            <w:r>
              <w:t>За отчетный год</w:t>
            </w:r>
          </w:p>
        </w:tc>
      </w:tr>
      <w:tr w:rsidR="00594EA7" w:rsidTr="0032609C">
        <w:tc>
          <w:tcPr>
            <w:tcW w:w="893" w:type="dxa"/>
          </w:tcPr>
          <w:p w:rsidR="00594EA7" w:rsidRDefault="00594EA7" w:rsidP="0032609C">
            <w:pPr>
              <w:pStyle w:val="ConsPlusNormal"/>
              <w:jc w:val="center"/>
            </w:pPr>
            <w:r>
              <w:t>1</w:t>
            </w:r>
          </w:p>
        </w:tc>
        <w:tc>
          <w:tcPr>
            <w:tcW w:w="5669" w:type="dxa"/>
          </w:tcPr>
          <w:p w:rsidR="00594EA7" w:rsidRDefault="00594EA7" w:rsidP="0032609C">
            <w:pPr>
              <w:pStyle w:val="ConsPlusNormal"/>
              <w:jc w:val="center"/>
            </w:pPr>
            <w:r>
              <w:t>2</w:t>
            </w:r>
          </w:p>
        </w:tc>
        <w:tc>
          <w:tcPr>
            <w:tcW w:w="1304" w:type="dxa"/>
          </w:tcPr>
          <w:p w:rsidR="00594EA7" w:rsidRDefault="00594EA7" w:rsidP="0032609C">
            <w:pPr>
              <w:pStyle w:val="ConsPlusNormal"/>
              <w:jc w:val="center"/>
            </w:pPr>
            <w:r>
              <w:t>3</w:t>
            </w:r>
          </w:p>
        </w:tc>
        <w:tc>
          <w:tcPr>
            <w:tcW w:w="1191" w:type="dxa"/>
          </w:tcPr>
          <w:p w:rsidR="00594EA7" w:rsidRDefault="00594EA7" w:rsidP="0032609C">
            <w:pPr>
              <w:pStyle w:val="ConsPlusNormal"/>
              <w:jc w:val="center"/>
            </w:pPr>
            <w:r>
              <w:t>4</w:t>
            </w:r>
          </w:p>
        </w:tc>
      </w:tr>
      <w:tr w:rsidR="00594EA7" w:rsidTr="0032609C">
        <w:tc>
          <w:tcPr>
            <w:tcW w:w="893" w:type="dxa"/>
            <w:vAlign w:val="center"/>
          </w:tcPr>
          <w:p w:rsidR="00594EA7" w:rsidRDefault="00594EA7" w:rsidP="0032609C">
            <w:pPr>
              <w:pStyle w:val="ConsPlusNormal"/>
              <w:jc w:val="center"/>
            </w:pPr>
            <w:bookmarkStart w:id="6" w:name="P953"/>
            <w:bookmarkEnd w:id="6"/>
            <w:r>
              <w:t>1</w:t>
            </w:r>
          </w:p>
        </w:tc>
        <w:tc>
          <w:tcPr>
            <w:tcW w:w="5669" w:type="dxa"/>
            <w:vAlign w:val="center"/>
          </w:tcPr>
          <w:p w:rsidR="00594EA7" w:rsidRDefault="00594EA7" w:rsidP="0032609C">
            <w:pPr>
              <w:pStyle w:val="ConsPlusNormal"/>
            </w:pPr>
            <w:proofErr w:type="gramStart"/>
            <w: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округов (муниципального района), в общей численности населения муниципального, городского округов (муниципального района)</w:t>
            </w:r>
            <w:proofErr w:type="gramEnd"/>
          </w:p>
        </w:tc>
        <w:tc>
          <w:tcPr>
            <w:tcW w:w="1304" w:type="dxa"/>
            <w:vAlign w:val="center"/>
          </w:tcPr>
          <w:p w:rsidR="00594EA7" w:rsidRDefault="00594EA7" w:rsidP="0032609C">
            <w:pPr>
              <w:pStyle w:val="ConsPlusNormal"/>
              <w:jc w:val="center"/>
            </w:pPr>
            <w:proofErr w:type="spellStart"/>
            <w:proofErr w:type="gramStart"/>
            <w:r>
              <w:t>проц</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7" w:name="P957"/>
            <w:bookmarkEnd w:id="7"/>
            <w:r>
              <w:t>2</w:t>
            </w:r>
          </w:p>
        </w:tc>
        <w:tc>
          <w:tcPr>
            <w:tcW w:w="5669" w:type="dxa"/>
            <w:vAlign w:val="center"/>
          </w:tcPr>
          <w:p w:rsidR="00594EA7" w:rsidRDefault="00594EA7" w:rsidP="0032609C">
            <w:pPr>
              <w:pStyle w:val="ConsPlusNormal"/>
            </w:pPr>
            <w:r>
              <w:t>Площадь земельных участков, предоставленных для строительства, в расчете на 10 тыс. человек населения - всего</w:t>
            </w:r>
          </w:p>
        </w:tc>
        <w:tc>
          <w:tcPr>
            <w:tcW w:w="1304" w:type="dxa"/>
            <w:vAlign w:val="center"/>
          </w:tcPr>
          <w:p w:rsidR="00594EA7" w:rsidRDefault="00594EA7" w:rsidP="0032609C">
            <w:pPr>
              <w:pStyle w:val="ConsPlusNormal"/>
              <w:jc w:val="center"/>
            </w:pPr>
            <w:r>
              <w:t>га</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8" w:name="P961"/>
            <w:bookmarkEnd w:id="8"/>
            <w:r>
              <w:t>3</w:t>
            </w:r>
          </w:p>
        </w:tc>
        <w:tc>
          <w:tcPr>
            <w:tcW w:w="5669" w:type="dxa"/>
            <w:vAlign w:val="center"/>
          </w:tcPr>
          <w:p w:rsidR="00594EA7" w:rsidRDefault="00594EA7" w:rsidP="0032609C">
            <w:pPr>
              <w:pStyle w:val="ConsPlusNormal"/>
              <w:ind w:left="283"/>
            </w:pPr>
            <w:r>
              <w:t>в том числе для жилищного строительства, индивидуального строительства и комплексного освоения в целях жилищного строительства</w:t>
            </w:r>
          </w:p>
        </w:tc>
        <w:tc>
          <w:tcPr>
            <w:tcW w:w="1304" w:type="dxa"/>
            <w:vAlign w:val="center"/>
          </w:tcPr>
          <w:p w:rsidR="00594EA7" w:rsidRDefault="00594EA7" w:rsidP="0032609C">
            <w:pPr>
              <w:pStyle w:val="ConsPlusNormal"/>
              <w:jc w:val="center"/>
            </w:pPr>
            <w:r>
              <w:t>га</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9" w:name="P965"/>
            <w:bookmarkEnd w:id="9"/>
            <w:r>
              <w:t>4</w:t>
            </w:r>
          </w:p>
        </w:tc>
        <w:tc>
          <w:tcPr>
            <w:tcW w:w="5669" w:type="dxa"/>
            <w:vAlign w:val="center"/>
          </w:tcPr>
          <w:p w:rsidR="00594EA7" w:rsidRDefault="00594EA7" w:rsidP="0032609C">
            <w:pPr>
              <w:pStyle w:val="ConsPlusNormal"/>
            </w:pPr>
            <w:r>
              <w:t>Доля площади земельных участков, являющихся объектами налогообложения земельным налогом, в общей площади территории муниципального, городского округов (муниципального района)</w:t>
            </w:r>
          </w:p>
        </w:tc>
        <w:tc>
          <w:tcPr>
            <w:tcW w:w="1304" w:type="dxa"/>
            <w:vAlign w:val="center"/>
          </w:tcPr>
          <w:p w:rsidR="00594EA7" w:rsidRDefault="00594EA7" w:rsidP="0032609C">
            <w:pPr>
              <w:pStyle w:val="ConsPlusNormal"/>
              <w:jc w:val="center"/>
            </w:pPr>
            <w:proofErr w:type="spellStart"/>
            <w:proofErr w:type="gramStart"/>
            <w:r>
              <w:t>проц</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0" w:name="P969"/>
            <w:bookmarkEnd w:id="10"/>
            <w:r>
              <w:t>5</w:t>
            </w:r>
          </w:p>
        </w:tc>
        <w:tc>
          <w:tcPr>
            <w:tcW w:w="5669" w:type="dxa"/>
            <w:vAlign w:val="center"/>
          </w:tcPr>
          <w:p w:rsidR="00594EA7" w:rsidRDefault="00594EA7" w:rsidP="0032609C">
            <w:pPr>
              <w:pStyle w:val="ConsPlusNormal"/>
            </w:pPr>
            <w:r>
              <w:t xml:space="preserve">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594EA7" w:rsidRDefault="00594EA7" w:rsidP="0032609C">
            <w:pPr>
              <w:pStyle w:val="ConsPlusNormal"/>
              <w:ind w:left="283"/>
            </w:pPr>
            <w:r>
              <w:t>объектов жилищного строительства - в течение трех лет</w:t>
            </w:r>
          </w:p>
        </w:tc>
        <w:tc>
          <w:tcPr>
            <w:tcW w:w="1304" w:type="dxa"/>
            <w:vAlign w:val="bottom"/>
          </w:tcPr>
          <w:p w:rsidR="00594EA7" w:rsidRDefault="00594EA7" w:rsidP="0032609C">
            <w:pPr>
              <w:pStyle w:val="ConsPlusNormal"/>
              <w:jc w:val="center"/>
            </w:pPr>
            <w:r>
              <w:t>м</w:t>
            </w:r>
            <w:proofErr w:type="gramStart"/>
            <w:r>
              <w:rPr>
                <w:vertAlign w:val="superscript"/>
              </w:rPr>
              <w:t>2</w:t>
            </w:r>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1" w:name="P974"/>
            <w:bookmarkEnd w:id="11"/>
            <w:r>
              <w:t>6</w:t>
            </w:r>
          </w:p>
        </w:tc>
        <w:tc>
          <w:tcPr>
            <w:tcW w:w="5669" w:type="dxa"/>
            <w:vAlign w:val="center"/>
          </w:tcPr>
          <w:p w:rsidR="00594EA7" w:rsidRDefault="00594EA7" w:rsidP="0032609C">
            <w:pPr>
              <w:pStyle w:val="ConsPlusNormal"/>
              <w:ind w:left="283"/>
            </w:pPr>
            <w:r>
              <w:t>иных объектов капитального строительства - в течение пяти лет</w:t>
            </w:r>
          </w:p>
        </w:tc>
        <w:tc>
          <w:tcPr>
            <w:tcW w:w="1304" w:type="dxa"/>
            <w:vAlign w:val="center"/>
          </w:tcPr>
          <w:p w:rsidR="00594EA7" w:rsidRDefault="00594EA7" w:rsidP="0032609C">
            <w:pPr>
              <w:pStyle w:val="ConsPlusNormal"/>
              <w:jc w:val="center"/>
            </w:pPr>
            <w:r>
              <w:t>м</w:t>
            </w:r>
            <w:proofErr w:type="gramStart"/>
            <w:r>
              <w:rPr>
                <w:vertAlign w:val="superscript"/>
              </w:rPr>
              <w:t>2</w:t>
            </w:r>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2" w:name="P978"/>
            <w:bookmarkEnd w:id="12"/>
            <w:r>
              <w:t>7</w:t>
            </w:r>
          </w:p>
        </w:tc>
        <w:tc>
          <w:tcPr>
            <w:tcW w:w="5669" w:type="dxa"/>
            <w:vAlign w:val="center"/>
          </w:tcPr>
          <w:p w:rsidR="00594EA7" w:rsidRDefault="00594EA7" w:rsidP="0032609C">
            <w:pPr>
              <w:pStyle w:val="ConsPlusNormal"/>
            </w:pPr>
            <w:r>
              <w:t>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tc>
        <w:tc>
          <w:tcPr>
            <w:tcW w:w="1304" w:type="dxa"/>
            <w:vAlign w:val="center"/>
          </w:tcPr>
          <w:p w:rsidR="00594EA7" w:rsidRDefault="00594EA7" w:rsidP="0032609C">
            <w:pPr>
              <w:pStyle w:val="ConsPlusNormal"/>
              <w:jc w:val="center"/>
            </w:pPr>
            <w:proofErr w:type="spellStart"/>
            <w:proofErr w:type="gramStart"/>
            <w:r>
              <w:t>тыс</w:t>
            </w:r>
            <w:proofErr w:type="spellEnd"/>
            <w:proofErr w:type="gramEnd"/>
            <w:r>
              <w:t xml:space="preserve"> </w:t>
            </w:r>
            <w:proofErr w:type="spellStart"/>
            <w:r>
              <w:t>руб</w:t>
            </w:r>
            <w:proofErr w:type="spell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3" w:name="P982"/>
            <w:bookmarkEnd w:id="13"/>
            <w:r>
              <w:t>8</w:t>
            </w:r>
          </w:p>
        </w:tc>
        <w:tc>
          <w:tcPr>
            <w:tcW w:w="5669" w:type="dxa"/>
            <w:vAlign w:val="center"/>
          </w:tcPr>
          <w:p w:rsidR="00594EA7" w:rsidRDefault="00594EA7" w:rsidP="0032609C">
            <w:pPr>
              <w:pStyle w:val="ConsPlusNormal"/>
            </w:pPr>
            <w:r>
              <w:t>Доля многоквартирных домов, расположенных на земельных участках, в отношении которых осуществлен государственный кадастровый учет</w:t>
            </w:r>
          </w:p>
        </w:tc>
        <w:tc>
          <w:tcPr>
            <w:tcW w:w="1304" w:type="dxa"/>
            <w:vAlign w:val="center"/>
          </w:tcPr>
          <w:p w:rsidR="00594EA7" w:rsidRDefault="00594EA7" w:rsidP="0032609C">
            <w:pPr>
              <w:pStyle w:val="ConsPlusNormal"/>
              <w:jc w:val="center"/>
            </w:pPr>
            <w:proofErr w:type="spellStart"/>
            <w:proofErr w:type="gramStart"/>
            <w:r>
              <w:t>проц</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4" w:name="P986"/>
            <w:bookmarkEnd w:id="14"/>
            <w:r>
              <w:t>9</w:t>
            </w:r>
          </w:p>
        </w:tc>
        <w:tc>
          <w:tcPr>
            <w:tcW w:w="5669" w:type="dxa"/>
            <w:vAlign w:val="center"/>
          </w:tcPr>
          <w:p w:rsidR="00594EA7" w:rsidRDefault="00594EA7" w:rsidP="0032609C">
            <w:pPr>
              <w:pStyle w:val="ConsPlusNormal"/>
            </w:pPr>
            <w: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04" w:type="dxa"/>
            <w:vAlign w:val="center"/>
          </w:tcPr>
          <w:p w:rsidR="00594EA7" w:rsidRDefault="00594EA7" w:rsidP="0032609C">
            <w:pPr>
              <w:pStyle w:val="ConsPlusNormal"/>
              <w:jc w:val="center"/>
            </w:pPr>
            <w:proofErr w:type="spellStart"/>
            <w:proofErr w:type="gramStart"/>
            <w:r>
              <w:t>проц</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pPr>
          </w:p>
        </w:tc>
        <w:tc>
          <w:tcPr>
            <w:tcW w:w="5669" w:type="dxa"/>
            <w:vAlign w:val="center"/>
          </w:tcPr>
          <w:p w:rsidR="00594EA7" w:rsidRDefault="00594EA7" w:rsidP="0032609C">
            <w:pPr>
              <w:pStyle w:val="ConsPlusNormal"/>
            </w:pPr>
            <w:r>
              <w:t>Удельная величина потребления энергетических ресурсов в многоквартирных домах:</w:t>
            </w:r>
          </w:p>
        </w:tc>
        <w:tc>
          <w:tcPr>
            <w:tcW w:w="1304" w:type="dxa"/>
            <w:vAlign w:val="center"/>
          </w:tcPr>
          <w:p w:rsidR="00594EA7" w:rsidRDefault="00594EA7" w:rsidP="0032609C">
            <w:pPr>
              <w:pStyle w:val="ConsPlusNormal"/>
            </w:pPr>
          </w:p>
        </w:tc>
        <w:tc>
          <w:tcPr>
            <w:tcW w:w="1191" w:type="dxa"/>
            <w:vAlign w:val="center"/>
          </w:tcPr>
          <w:p w:rsidR="00594EA7" w:rsidRDefault="00594EA7" w:rsidP="0032609C">
            <w:pPr>
              <w:pStyle w:val="ConsPlusNormal"/>
              <w:jc w:val="center"/>
            </w:pPr>
            <w:r>
              <w:t>X</w:t>
            </w:r>
          </w:p>
        </w:tc>
      </w:tr>
      <w:tr w:rsidR="00594EA7" w:rsidTr="0032609C">
        <w:tc>
          <w:tcPr>
            <w:tcW w:w="893" w:type="dxa"/>
            <w:vAlign w:val="center"/>
          </w:tcPr>
          <w:p w:rsidR="00594EA7" w:rsidRDefault="00594EA7" w:rsidP="0032609C">
            <w:pPr>
              <w:pStyle w:val="ConsPlusNormal"/>
              <w:jc w:val="center"/>
            </w:pPr>
            <w:bookmarkStart w:id="15" w:name="P994"/>
            <w:bookmarkEnd w:id="15"/>
            <w:r>
              <w:t>10</w:t>
            </w:r>
          </w:p>
        </w:tc>
        <w:tc>
          <w:tcPr>
            <w:tcW w:w="5669" w:type="dxa"/>
            <w:vAlign w:val="center"/>
          </w:tcPr>
          <w:p w:rsidR="00594EA7" w:rsidRDefault="00594EA7" w:rsidP="0032609C">
            <w:pPr>
              <w:pStyle w:val="ConsPlusNormal"/>
              <w:ind w:left="283"/>
            </w:pPr>
            <w:r>
              <w:t>электрическая энергия, на одного проживающего</w:t>
            </w:r>
          </w:p>
        </w:tc>
        <w:tc>
          <w:tcPr>
            <w:tcW w:w="1304" w:type="dxa"/>
            <w:vAlign w:val="center"/>
          </w:tcPr>
          <w:p w:rsidR="00594EA7" w:rsidRDefault="00594EA7" w:rsidP="0032609C">
            <w:pPr>
              <w:pStyle w:val="ConsPlusNormal"/>
              <w:jc w:val="center"/>
            </w:pPr>
            <w:proofErr w:type="spellStart"/>
            <w:r>
              <w:t>кВт·</w:t>
            </w:r>
            <w:proofErr w:type="gramStart"/>
            <w:r>
              <w:t>ч</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6" w:name="P998"/>
            <w:bookmarkEnd w:id="16"/>
            <w:r>
              <w:t>11</w:t>
            </w:r>
          </w:p>
        </w:tc>
        <w:tc>
          <w:tcPr>
            <w:tcW w:w="5669" w:type="dxa"/>
            <w:vAlign w:val="center"/>
          </w:tcPr>
          <w:p w:rsidR="00594EA7" w:rsidRDefault="00594EA7" w:rsidP="0032609C">
            <w:pPr>
              <w:pStyle w:val="ConsPlusNormal"/>
              <w:ind w:left="283"/>
            </w:pPr>
            <w:r>
              <w:t xml:space="preserve">тепловая энергия, на 1 </w:t>
            </w:r>
            <w:proofErr w:type="spellStart"/>
            <w:r>
              <w:t>кв</w:t>
            </w:r>
            <w:proofErr w:type="spellEnd"/>
            <w:r>
              <w:t xml:space="preserve"> м общей площади</w:t>
            </w:r>
          </w:p>
        </w:tc>
        <w:tc>
          <w:tcPr>
            <w:tcW w:w="1304" w:type="dxa"/>
            <w:vAlign w:val="center"/>
          </w:tcPr>
          <w:p w:rsidR="00594EA7" w:rsidRDefault="00594EA7" w:rsidP="0032609C">
            <w:pPr>
              <w:pStyle w:val="ConsPlusNormal"/>
              <w:jc w:val="center"/>
            </w:pPr>
            <w:proofErr w:type="spellStart"/>
            <w:r>
              <w:t>гигакал</w:t>
            </w:r>
            <w:proofErr w:type="spell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7" w:name="P1002"/>
            <w:bookmarkEnd w:id="17"/>
            <w:r>
              <w:t>12</w:t>
            </w:r>
          </w:p>
        </w:tc>
        <w:tc>
          <w:tcPr>
            <w:tcW w:w="5669" w:type="dxa"/>
            <w:vAlign w:val="center"/>
          </w:tcPr>
          <w:p w:rsidR="00594EA7" w:rsidRDefault="00594EA7" w:rsidP="0032609C">
            <w:pPr>
              <w:pStyle w:val="ConsPlusNormal"/>
              <w:ind w:left="283"/>
            </w:pPr>
            <w:r>
              <w:t>горячая вода, на одного проживающего</w:t>
            </w:r>
          </w:p>
        </w:tc>
        <w:tc>
          <w:tcPr>
            <w:tcW w:w="1304" w:type="dxa"/>
            <w:vAlign w:val="center"/>
          </w:tcPr>
          <w:p w:rsidR="00594EA7" w:rsidRDefault="00594EA7" w:rsidP="0032609C">
            <w:pPr>
              <w:pStyle w:val="ConsPlusNormal"/>
              <w:jc w:val="center"/>
            </w:pPr>
            <w:r>
              <w:t>м</w:t>
            </w:r>
            <w:r>
              <w:rPr>
                <w:vertAlign w:val="superscript"/>
              </w:rPr>
              <w:t>3</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8" w:name="P1006"/>
            <w:bookmarkEnd w:id="18"/>
            <w:r>
              <w:t>13</w:t>
            </w:r>
          </w:p>
        </w:tc>
        <w:tc>
          <w:tcPr>
            <w:tcW w:w="5669" w:type="dxa"/>
            <w:vAlign w:val="center"/>
          </w:tcPr>
          <w:p w:rsidR="00594EA7" w:rsidRDefault="00594EA7" w:rsidP="0032609C">
            <w:pPr>
              <w:pStyle w:val="ConsPlusNormal"/>
              <w:ind w:left="283"/>
            </w:pPr>
            <w:r>
              <w:t>холодная вода, на одного проживающего</w:t>
            </w:r>
          </w:p>
        </w:tc>
        <w:tc>
          <w:tcPr>
            <w:tcW w:w="1304" w:type="dxa"/>
            <w:vAlign w:val="center"/>
          </w:tcPr>
          <w:p w:rsidR="00594EA7" w:rsidRDefault="00594EA7" w:rsidP="0032609C">
            <w:pPr>
              <w:pStyle w:val="ConsPlusNormal"/>
              <w:jc w:val="center"/>
            </w:pPr>
            <w:r>
              <w:t>м</w:t>
            </w:r>
            <w:r>
              <w:rPr>
                <w:vertAlign w:val="superscript"/>
              </w:rPr>
              <w:t>3</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19" w:name="P1010"/>
            <w:bookmarkEnd w:id="19"/>
            <w:r>
              <w:t>14</w:t>
            </w:r>
          </w:p>
        </w:tc>
        <w:tc>
          <w:tcPr>
            <w:tcW w:w="5669" w:type="dxa"/>
            <w:vAlign w:val="center"/>
          </w:tcPr>
          <w:p w:rsidR="00594EA7" w:rsidRDefault="00594EA7" w:rsidP="0032609C">
            <w:pPr>
              <w:pStyle w:val="ConsPlusNormal"/>
              <w:ind w:left="283"/>
            </w:pPr>
            <w:r>
              <w:t>природный газ, на одного проживающего</w:t>
            </w:r>
          </w:p>
        </w:tc>
        <w:tc>
          <w:tcPr>
            <w:tcW w:w="1304" w:type="dxa"/>
            <w:vAlign w:val="center"/>
          </w:tcPr>
          <w:p w:rsidR="00594EA7" w:rsidRDefault="00594EA7" w:rsidP="0032609C">
            <w:pPr>
              <w:pStyle w:val="ConsPlusNormal"/>
              <w:jc w:val="center"/>
            </w:pPr>
            <w:r>
              <w:t>м</w:t>
            </w:r>
            <w:r>
              <w:rPr>
                <w:vertAlign w:val="superscript"/>
              </w:rPr>
              <w:t>3</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pPr>
          </w:p>
        </w:tc>
        <w:tc>
          <w:tcPr>
            <w:tcW w:w="5669" w:type="dxa"/>
            <w:vAlign w:val="center"/>
          </w:tcPr>
          <w:p w:rsidR="00594EA7" w:rsidRDefault="00594EA7" w:rsidP="0032609C">
            <w:pPr>
              <w:pStyle w:val="ConsPlusNormal"/>
            </w:pPr>
            <w:r>
              <w:t>Удельная величина потребления энергетических ресурсов муниципальными бюджетными учреждениями:</w:t>
            </w:r>
          </w:p>
        </w:tc>
        <w:tc>
          <w:tcPr>
            <w:tcW w:w="1304" w:type="dxa"/>
            <w:vAlign w:val="center"/>
          </w:tcPr>
          <w:p w:rsidR="00594EA7" w:rsidRDefault="00594EA7" w:rsidP="0032609C">
            <w:pPr>
              <w:pStyle w:val="ConsPlusNormal"/>
            </w:pPr>
          </w:p>
        </w:tc>
        <w:tc>
          <w:tcPr>
            <w:tcW w:w="1191" w:type="dxa"/>
            <w:vAlign w:val="center"/>
          </w:tcPr>
          <w:p w:rsidR="00594EA7" w:rsidRDefault="00594EA7" w:rsidP="0032609C">
            <w:pPr>
              <w:pStyle w:val="ConsPlusNormal"/>
              <w:jc w:val="center"/>
            </w:pPr>
            <w:r>
              <w:t>X</w:t>
            </w:r>
          </w:p>
        </w:tc>
      </w:tr>
      <w:tr w:rsidR="00594EA7" w:rsidTr="0032609C">
        <w:tc>
          <w:tcPr>
            <w:tcW w:w="893" w:type="dxa"/>
            <w:vAlign w:val="center"/>
          </w:tcPr>
          <w:p w:rsidR="00594EA7" w:rsidRDefault="00594EA7" w:rsidP="0032609C">
            <w:pPr>
              <w:pStyle w:val="ConsPlusNormal"/>
              <w:jc w:val="center"/>
            </w:pPr>
            <w:bookmarkStart w:id="20" w:name="P1018"/>
            <w:bookmarkEnd w:id="20"/>
            <w:r>
              <w:t>15</w:t>
            </w:r>
          </w:p>
        </w:tc>
        <w:tc>
          <w:tcPr>
            <w:tcW w:w="5669" w:type="dxa"/>
            <w:vAlign w:val="center"/>
          </w:tcPr>
          <w:p w:rsidR="00594EA7" w:rsidRDefault="00594EA7" w:rsidP="0032609C">
            <w:pPr>
              <w:pStyle w:val="ConsPlusNormal"/>
              <w:ind w:left="283"/>
            </w:pPr>
            <w:r>
              <w:t>электрическая энергия, на одного человека населения</w:t>
            </w:r>
          </w:p>
        </w:tc>
        <w:tc>
          <w:tcPr>
            <w:tcW w:w="1304" w:type="dxa"/>
            <w:vAlign w:val="center"/>
          </w:tcPr>
          <w:p w:rsidR="00594EA7" w:rsidRDefault="00594EA7" w:rsidP="0032609C">
            <w:pPr>
              <w:pStyle w:val="ConsPlusNormal"/>
              <w:jc w:val="center"/>
            </w:pPr>
            <w:proofErr w:type="spellStart"/>
            <w:r>
              <w:t>кВт·</w:t>
            </w:r>
            <w:proofErr w:type="gramStart"/>
            <w:r>
              <w:t>ч</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1" w:name="P1022"/>
            <w:bookmarkEnd w:id="21"/>
            <w:r>
              <w:t>16</w:t>
            </w:r>
          </w:p>
        </w:tc>
        <w:tc>
          <w:tcPr>
            <w:tcW w:w="5669" w:type="dxa"/>
            <w:vAlign w:val="center"/>
          </w:tcPr>
          <w:p w:rsidR="00594EA7" w:rsidRDefault="00594EA7" w:rsidP="0032609C">
            <w:pPr>
              <w:pStyle w:val="ConsPlusNormal"/>
              <w:ind w:left="283"/>
            </w:pPr>
            <w:r>
              <w:t xml:space="preserve">тепловая энергия, на 1 </w:t>
            </w:r>
            <w:proofErr w:type="spellStart"/>
            <w:r>
              <w:t>кв</w:t>
            </w:r>
            <w:proofErr w:type="spellEnd"/>
            <w:r>
              <w:t xml:space="preserve"> м общей площади</w:t>
            </w:r>
          </w:p>
        </w:tc>
        <w:tc>
          <w:tcPr>
            <w:tcW w:w="1304" w:type="dxa"/>
            <w:vAlign w:val="center"/>
          </w:tcPr>
          <w:p w:rsidR="00594EA7" w:rsidRDefault="00594EA7" w:rsidP="0032609C">
            <w:pPr>
              <w:pStyle w:val="ConsPlusNormal"/>
              <w:jc w:val="center"/>
            </w:pPr>
            <w:proofErr w:type="spellStart"/>
            <w:r>
              <w:t>гигакал</w:t>
            </w:r>
            <w:proofErr w:type="spell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2" w:name="P1026"/>
            <w:bookmarkEnd w:id="22"/>
            <w:r>
              <w:t>17</w:t>
            </w:r>
          </w:p>
        </w:tc>
        <w:tc>
          <w:tcPr>
            <w:tcW w:w="5669" w:type="dxa"/>
            <w:vAlign w:val="center"/>
          </w:tcPr>
          <w:p w:rsidR="00594EA7" w:rsidRDefault="00594EA7" w:rsidP="0032609C">
            <w:pPr>
              <w:pStyle w:val="ConsPlusNormal"/>
              <w:ind w:left="283"/>
            </w:pPr>
            <w:r>
              <w:t>горячая вода, на одного человека населения</w:t>
            </w:r>
          </w:p>
        </w:tc>
        <w:tc>
          <w:tcPr>
            <w:tcW w:w="1304" w:type="dxa"/>
            <w:vAlign w:val="center"/>
          </w:tcPr>
          <w:p w:rsidR="00594EA7" w:rsidRDefault="00594EA7" w:rsidP="0032609C">
            <w:pPr>
              <w:pStyle w:val="ConsPlusNormal"/>
              <w:jc w:val="center"/>
            </w:pPr>
            <w:r>
              <w:t>м</w:t>
            </w:r>
            <w:r>
              <w:rPr>
                <w:vertAlign w:val="superscript"/>
              </w:rPr>
              <w:t>3</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3" w:name="P1030"/>
            <w:bookmarkEnd w:id="23"/>
            <w:r>
              <w:t>18</w:t>
            </w:r>
          </w:p>
        </w:tc>
        <w:tc>
          <w:tcPr>
            <w:tcW w:w="5669" w:type="dxa"/>
            <w:vAlign w:val="center"/>
          </w:tcPr>
          <w:p w:rsidR="00594EA7" w:rsidRDefault="00594EA7" w:rsidP="0032609C">
            <w:pPr>
              <w:pStyle w:val="ConsPlusNormal"/>
              <w:ind w:left="283"/>
            </w:pPr>
            <w:r>
              <w:t>холодная вода, на одного человека населения</w:t>
            </w:r>
          </w:p>
        </w:tc>
        <w:tc>
          <w:tcPr>
            <w:tcW w:w="1304" w:type="dxa"/>
            <w:vAlign w:val="center"/>
          </w:tcPr>
          <w:p w:rsidR="00594EA7" w:rsidRDefault="00594EA7" w:rsidP="0032609C">
            <w:pPr>
              <w:pStyle w:val="ConsPlusNormal"/>
              <w:jc w:val="center"/>
            </w:pPr>
            <w:r>
              <w:t>м</w:t>
            </w:r>
            <w:r>
              <w:rPr>
                <w:vertAlign w:val="superscript"/>
              </w:rPr>
              <w:t>3</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4" w:name="P1034"/>
            <w:bookmarkEnd w:id="24"/>
            <w:r>
              <w:t>19</w:t>
            </w:r>
          </w:p>
        </w:tc>
        <w:tc>
          <w:tcPr>
            <w:tcW w:w="5669" w:type="dxa"/>
            <w:vAlign w:val="center"/>
          </w:tcPr>
          <w:p w:rsidR="00594EA7" w:rsidRDefault="00594EA7" w:rsidP="0032609C">
            <w:pPr>
              <w:pStyle w:val="ConsPlusNormal"/>
              <w:ind w:left="283"/>
            </w:pPr>
            <w:r>
              <w:t>природный газ, на одного человека населения</w:t>
            </w:r>
          </w:p>
        </w:tc>
        <w:tc>
          <w:tcPr>
            <w:tcW w:w="1304" w:type="dxa"/>
            <w:vAlign w:val="center"/>
          </w:tcPr>
          <w:p w:rsidR="00594EA7" w:rsidRDefault="00594EA7" w:rsidP="0032609C">
            <w:pPr>
              <w:pStyle w:val="ConsPlusNormal"/>
              <w:jc w:val="center"/>
            </w:pPr>
            <w:r>
              <w:t>м</w:t>
            </w:r>
            <w:r>
              <w:rPr>
                <w:vertAlign w:val="superscript"/>
              </w:rPr>
              <w:t>3</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5" w:name="P1038"/>
            <w:bookmarkEnd w:id="25"/>
            <w:r>
              <w:t>20</w:t>
            </w:r>
          </w:p>
        </w:tc>
        <w:tc>
          <w:tcPr>
            <w:tcW w:w="5669" w:type="dxa"/>
            <w:vAlign w:val="center"/>
          </w:tcPr>
          <w:p w:rsidR="00594EA7" w:rsidRDefault="00594EA7" w:rsidP="0032609C">
            <w:pPr>
              <w:pStyle w:val="ConsPlusNormal"/>
            </w:pP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304" w:type="dxa"/>
            <w:vAlign w:val="center"/>
          </w:tcPr>
          <w:p w:rsidR="00594EA7" w:rsidRDefault="00594EA7" w:rsidP="0032609C">
            <w:pPr>
              <w:pStyle w:val="ConsPlusNormal"/>
              <w:jc w:val="center"/>
            </w:pPr>
            <w:proofErr w:type="spellStart"/>
            <w:proofErr w:type="gramStart"/>
            <w:r>
              <w:t>проц</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6" w:name="P1042"/>
            <w:bookmarkEnd w:id="26"/>
            <w:r>
              <w:t>21</w:t>
            </w:r>
          </w:p>
        </w:tc>
        <w:tc>
          <w:tcPr>
            <w:tcW w:w="5669" w:type="dxa"/>
            <w:vAlign w:val="center"/>
          </w:tcPr>
          <w:p w:rsidR="00594EA7" w:rsidRDefault="00594EA7" w:rsidP="0032609C">
            <w:pPr>
              <w:pStyle w:val="ConsPlusNormal"/>
            </w:pPr>
            <w:r>
              <w:t xml:space="preserve">Наличие в муниципальном, городском </w:t>
            </w:r>
            <w:proofErr w:type="gramStart"/>
            <w:r>
              <w:t>округах</w:t>
            </w:r>
            <w:proofErr w:type="gramEnd"/>
            <w:r>
              <w:t xml:space="preserve"> (муниципальном районе) утвержденного генерального плана муниципального, городского округов (схемы территориального планирования муниципального района), (да/нет)</w:t>
            </w:r>
          </w:p>
        </w:tc>
        <w:tc>
          <w:tcPr>
            <w:tcW w:w="1304" w:type="dxa"/>
            <w:vAlign w:val="center"/>
          </w:tcPr>
          <w:p w:rsidR="00594EA7" w:rsidRDefault="00594EA7" w:rsidP="0032609C">
            <w:pPr>
              <w:pStyle w:val="ConsPlusNormal"/>
              <w:jc w:val="center"/>
            </w:pPr>
            <w:r>
              <w:t>-</w:t>
            </w:r>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7" w:name="P1046"/>
            <w:bookmarkEnd w:id="27"/>
            <w:r>
              <w:t>22</w:t>
            </w:r>
          </w:p>
        </w:tc>
        <w:tc>
          <w:tcPr>
            <w:tcW w:w="5669" w:type="dxa"/>
            <w:vAlign w:val="center"/>
          </w:tcPr>
          <w:p w:rsidR="00594EA7" w:rsidRDefault="00594EA7" w:rsidP="0032609C">
            <w:pPr>
              <w:pStyle w:val="ConsPlusNormal"/>
            </w:pPr>
            <w: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04" w:type="dxa"/>
            <w:vAlign w:val="center"/>
          </w:tcPr>
          <w:p w:rsidR="00594EA7" w:rsidRDefault="00594EA7" w:rsidP="0032609C">
            <w:pPr>
              <w:pStyle w:val="ConsPlusNormal"/>
              <w:jc w:val="center"/>
            </w:pPr>
            <w:proofErr w:type="spellStart"/>
            <w:r>
              <w:t>руб</w:t>
            </w:r>
            <w:proofErr w:type="spell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8" w:name="P1050"/>
            <w:bookmarkEnd w:id="28"/>
            <w:r>
              <w:t>23</w:t>
            </w:r>
          </w:p>
        </w:tc>
        <w:tc>
          <w:tcPr>
            <w:tcW w:w="5669" w:type="dxa"/>
            <w:vAlign w:val="center"/>
          </w:tcPr>
          <w:p w:rsidR="00594EA7" w:rsidRDefault="00594EA7" w:rsidP="0032609C">
            <w:pPr>
              <w:pStyle w:val="ConsPlusNormal"/>
            </w:pP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04" w:type="dxa"/>
            <w:vAlign w:val="center"/>
          </w:tcPr>
          <w:p w:rsidR="00594EA7" w:rsidRDefault="00594EA7" w:rsidP="0032609C">
            <w:pPr>
              <w:pStyle w:val="ConsPlusNormal"/>
              <w:jc w:val="center"/>
            </w:pPr>
            <w:proofErr w:type="spellStart"/>
            <w:proofErr w:type="gramStart"/>
            <w:r>
              <w:t>проц</w:t>
            </w:r>
            <w:proofErr w:type="spellEnd"/>
            <w:proofErr w:type="gramEnd"/>
          </w:p>
        </w:tc>
        <w:tc>
          <w:tcPr>
            <w:tcW w:w="1191" w:type="dxa"/>
            <w:vAlign w:val="center"/>
          </w:tcPr>
          <w:p w:rsidR="00594EA7" w:rsidRDefault="00594EA7" w:rsidP="0032609C">
            <w:pPr>
              <w:pStyle w:val="ConsPlusNormal"/>
            </w:pPr>
          </w:p>
        </w:tc>
      </w:tr>
      <w:tr w:rsidR="00594EA7" w:rsidTr="0032609C">
        <w:tc>
          <w:tcPr>
            <w:tcW w:w="893" w:type="dxa"/>
            <w:vAlign w:val="center"/>
          </w:tcPr>
          <w:p w:rsidR="00594EA7" w:rsidRDefault="00594EA7" w:rsidP="0032609C">
            <w:pPr>
              <w:pStyle w:val="ConsPlusNormal"/>
              <w:jc w:val="center"/>
            </w:pPr>
            <w:bookmarkStart w:id="29" w:name="P1054"/>
            <w:bookmarkEnd w:id="29"/>
            <w:r>
              <w:t>24</w:t>
            </w:r>
          </w:p>
        </w:tc>
        <w:tc>
          <w:tcPr>
            <w:tcW w:w="5669" w:type="dxa"/>
            <w:vAlign w:val="center"/>
          </w:tcPr>
          <w:p w:rsidR="00594EA7" w:rsidRDefault="00594EA7" w:rsidP="0032609C">
            <w:pPr>
              <w:pStyle w:val="ConsPlusNormal"/>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04" w:type="dxa"/>
            <w:vAlign w:val="center"/>
          </w:tcPr>
          <w:p w:rsidR="00594EA7" w:rsidRDefault="00594EA7" w:rsidP="0032609C">
            <w:pPr>
              <w:pStyle w:val="ConsPlusNormal"/>
              <w:jc w:val="center"/>
            </w:pPr>
            <w:proofErr w:type="spellStart"/>
            <w:proofErr w:type="gramStart"/>
            <w:r>
              <w:t>проц</w:t>
            </w:r>
            <w:proofErr w:type="spellEnd"/>
            <w:proofErr w:type="gramEnd"/>
          </w:p>
        </w:tc>
        <w:tc>
          <w:tcPr>
            <w:tcW w:w="1191" w:type="dxa"/>
            <w:vAlign w:val="center"/>
          </w:tcPr>
          <w:p w:rsidR="00594EA7" w:rsidRDefault="00594EA7" w:rsidP="0032609C">
            <w:pPr>
              <w:pStyle w:val="ConsPlusNormal"/>
            </w:pPr>
          </w:p>
        </w:tc>
      </w:tr>
    </w:tbl>
    <w:p w:rsidR="00594EA7" w:rsidRDefault="00594EA7" w:rsidP="00594EA7">
      <w:pPr>
        <w:pStyle w:val="ConsPlusNormal"/>
        <w:jc w:val="both"/>
      </w:pPr>
    </w:p>
    <w:p w:rsidR="00594EA7" w:rsidRDefault="00594EA7" w:rsidP="00594EA7">
      <w:pPr>
        <w:sectPr w:rsidR="00594EA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5"/>
        <w:gridCol w:w="2175"/>
        <w:gridCol w:w="340"/>
        <w:gridCol w:w="907"/>
        <w:gridCol w:w="1360"/>
        <w:gridCol w:w="340"/>
        <w:gridCol w:w="2610"/>
      </w:tblGrid>
      <w:tr w:rsidR="00594EA7" w:rsidTr="0032609C">
        <w:tc>
          <w:tcPr>
            <w:tcW w:w="3085" w:type="dxa"/>
            <w:tcBorders>
              <w:top w:val="nil"/>
              <w:left w:val="nil"/>
              <w:bottom w:val="nil"/>
              <w:right w:val="nil"/>
            </w:tcBorders>
          </w:tcPr>
          <w:p w:rsidR="00594EA7" w:rsidRDefault="00594EA7" w:rsidP="0032609C">
            <w:pPr>
              <w:pStyle w:val="ConsPlusNormal"/>
              <w:ind w:firstLine="283"/>
              <w:jc w:val="both"/>
            </w:pPr>
            <w:r>
              <w:lastRenderedPageBreak/>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782" w:type="dxa"/>
            <w:gridSpan w:val="4"/>
            <w:tcBorders>
              <w:top w:val="nil"/>
              <w:left w:val="nil"/>
              <w:bottom w:val="nil"/>
              <w:right w:val="nil"/>
            </w:tcBorders>
          </w:tcPr>
          <w:p w:rsidR="00594EA7" w:rsidRDefault="00594EA7" w:rsidP="0032609C">
            <w:pPr>
              <w:pStyle w:val="ConsPlusNormal"/>
            </w:pPr>
          </w:p>
        </w:tc>
        <w:tc>
          <w:tcPr>
            <w:tcW w:w="2950" w:type="dxa"/>
            <w:gridSpan w:val="2"/>
            <w:tcBorders>
              <w:top w:val="nil"/>
              <w:left w:val="nil"/>
              <w:bottom w:val="nil"/>
              <w:right w:val="nil"/>
            </w:tcBorders>
          </w:tcPr>
          <w:p w:rsidR="00594EA7" w:rsidRDefault="00594EA7" w:rsidP="0032609C">
            <w:pPr>
              <w:pStyle w:val="ConsPlusNormal"/>
            </w:pPr>
          </w:p>
        </w:tc>
      </w:tr>
      <w:tr w:rsidR="00594EA7" w:rsidTr="0032609C">
        <w:tc>
          <w:tcPr>
            <w:tcW w:w="3085" w:type="dxa"/>
            <w:tcBorders>
              <w:top w:val="nil"/>
              <w:left w:val="nil"/>
              <w:bottom w:val="nil"/>
              <w:right w:val="nil"/>
            </w:tcBorders>
          </w:tcPr>
          <w:p w:rsidR="00594EA7" w:rsidRDefault="00594EA7" w:rsidP="0032609C">
            <w:pPr>
              <w:pStyle w:val="ConsPlusNormal"/>
            </w:pPr>
          </w:p>
        </w:tc>
        <w:tc>
          <w:tcPr>
            <w:tcW w:w="2175" w:type="dxa"/>
            <w:tcBorders>
              <w:top w:val="single" w:sz="4" w:space="0" w:color="auto"/>
              <w:left w:val="nil"/>
              <w:bottom w:val="nil"/>
              <w:right w:val="nil"/>
            </w:tcBorders>
          </w:tcPr>
          <w:p w:rsidR="00594EA7" w:rsidRDefault="00594EA7" w:rsidP="0032609C">
            <w:pPr>
              <w:pStyle w:val="ConsPlusNormal"/>
              <w:jc w:val="center"/>
            </w:pPr>
            <w:r>
              <w:t>(должность)</w:t>
            </w:r>
          </w:p>
        </w:tc>
        <w:tc>
          <w:tcPr>
            <w:tcW w:w="340" w:type="dxa"/>
            <w:tcBorders>
              <w:top w:val="nil"/>
              <w:left w:val="nil"/>
              <w:bottom w:val="nil"/>
              <w:right w:val="nil"/>
            </w:tcBorders>
          </w:tcPr>
          <w:p w:rsidR="00594EA7" w:rsidRDefault="00594EA7" w:rsidP="0032609C">
            <w:pPr>
              <w:pStyle w:val="ConsPlusNormal"/>
            </w:pPr>
          </w:p>
        </w:tc>
        <w:tc>
          <w:tcPr>
            <w:tcW w:w="2267" w:type="dxa"/>
            <w:gridSpan w:val="2"/>
            <w:tcBorders>
              <w:top w:val="single" w:sz="4" w:space="0" w:color="auto"/>
              <w:left w:val="nil"/>
              <w:bottom w:val="nil"/>
              <w:right w:val="nil"/>
            </w:tcBorders>
          </w:tcPr>
          <w:p w:rsidR="00594EA7" w:rsidRDefault="00594EA7" w:rsidP="0032609C">
            <w:pPr>
              <w:pStyle w:val="ConsPlusNormal"/>
              <w:jc w:val="center"/>
            </w:pPr>
            <w:r>
              <w:t>(Ф.И.О.)</w:t>
            </w:r>
          </w:p>
        </w:tc>
        <w:tc>
          <w:tcPr>
            <w:tcW w:w="340" w:type="dxa"/>
            <w:tcBorders>
              <w:top w:val="nil"/>
              <w:left w:val="nil"/>
              <w:bottom w:val="nil"/>
              <w:right w:val="nil"/>
            </w:tcBorders>
          </w:tcPr>
          <w:p w:rsidR="00594EA7" w:rsidRDefault="00594EA7" w:rsidP="0032609C">
            <w:pPr>
              <w:pStyle w:val="ConsPlusNormal"/>
            </w:pPr>
          </w:p>
        </w:tc>
        <w:tc>
          <w:tcPr>
            <w:tcW w:w="2610" w:type="dxa"/>
            <w:tcBorders>
              <w:top w:val="single" w:sz="4" w:space="0" w:color="auto"/>
              <w:left w:val="nil"/>
              <w:bottom w:val="nil"/>
              <w:right w:val="nil"/>
            </w:tcBorders>
          </w:tcPr>
          <w:p w:rsidR="00594EA7" w:rsidRDefault="00594EA7" w:rsidP="0032609C">
            <w:pPr>
              <w:pStyle w:val="ConsPlusNormal"/>
              <w:jc w:val="center"/>
            </w:pPr>
            <w:r>
              <w:t>(подпись)</w:t>
            </w:r>
          </w:p>
        </w:tc>
      </w:tr>
      <w:tr w:rsidR="00594EA7" w:rsidTr="0032609C">
        <w:tc>
          <w:tcPr>
            <w:tcW w:w="3085" w:type="dxa"/>
            <w:tcBorders>
              <w:top w:val="nil"/>
              <w:left w:val="nil"/>
              <w:bottom w:val="nil"/>
              <w:right w:val="nil"/>
            </w:tcBorders>
          </w:tcPr>
          <w:p w:rsidR="00594EA7" w:rsidRDefault="00594EA7" w:rsidP="0032609C">
            <w:pPr>
              <w:pStyle w:val="ConsPlusNormal"/>
            </w:pPr>
          </w:p>
        </w:tc>
        <w:tc>
          <w:tcPr>
            <w:tcW w:w="2175" w:type="dxa"/>
            <w:tcBorders>
              <w:top w:val="nil"/>
              <w:left w:val="nil"/>
              <w:bottom w:val="single" w:sz="4" w:space="0" w:color="auto"/>
              <w:right w:val="nil"/>
            </w:tcBorders>
            <w:vAlign w:val="bottom"/>
          </w:tcPr>
          <w:p w:rsidR="00594EA7" w:rsidRDefault="00594EA7" w:rsidP="0032609C">
            <w:pPr>
              <w:pStyle w:val="ConsPlusNormal"/>
            </w:pPr>
          </w:p>
        </w:tc>
        <w:tc>
          <w:tcPr>
            <w:tcW w:w="340" w:type="dxa"/>
            <w:tcBorders>
              <w:top w:val="nil"/>
              <w:left w:val="nil"/>
              <w:bottom w:val="nil"/>
              <w:right w:val="nil"/>
            </w:tcBorders>
          </w:tcPr>
          <w:p w:rsidR="00594EA7" w:rsidRDefault="00594EA7" w:rsidP="0032609C">
            <w:pPr>
              <w:pStyle w:val="ConsPlusNormal"/>
            </w:pPr>
          </w:p>
        </w:tc>
        <w:tc>
          <w:tcPr>
            <w:tcW w:w="907" w:type="dxa"/>
            <w:tcBorders>
              <w:top w:val="nil"/>
              <w:left w:val="nil"/>
              <w:bottom w:val="nil"/>
              <w:right w:val="nil"/>
            </w:tcBorders>
            <w:vAlign w:val="bottom"/>
          </w:tcPr>
          <w:p w:rsidR="00594EA7" w:rsidRDefault="00594EA7" w:rsidP="0032609C">
            <w:pPr>
              <w:pStyle w:val="ConsPlusNormal"/>
              <w:jc w:val="both"/>
            </w:pPr>
            <w:r>
              <w:t>E-</w:t>
            </w:r>
            <w:proofErr w:type="spellStart"/>
            <w:r>
              <w:t>mail</w:t>
            </w:r>
            <w:proofErr w:type="spellEnd"/>
            <w:r>
              <w:t>:</w:t>
            </w:r>
          </w:p>
        </w:tc>
        <w:tc>
          <w:tcPr>
            <w:tcW w:w="1360" w:type="dxa"/>
            <w:tcBorders>
              <w:top w:val="nil"/>
              <w:left w:val="nil"/>
              <w:bottom w:val="single" w:sz="4" w:space="0" w:color="auto"/>
              <w:right w:val="nil"/>
            </w:tcBorders>
          </w:tcPr>
          <w:p w:rsidR="00594EA7" w:rsidRDefault="00594EA7" w:rsidP="0032609C">
            <w:pPr>
              <w:pStyle w:val="ConsPlusNormal"/>
            </w:pPr>
          </w:p>
        </w:tc>
        <w:tc>
          <w:tcPr>
            <w:tcW w:w="340" w:type="dxa"/>
            <w:tcBorders>
              <w:top w:val="nil"/>
              <w:left w:val="nil"/>
              <w:bottom w:val="nil"/>
              <w:right w:val="nil"/>
            </w:tcBorders>
          </w:tcPr>
          <w:p w:rsidR="00594EA7" w:rsidRDefault="00594EA7" w:rsidP="0032609C">
            <w:pPr>
              <w:pStyle w:val="ConsPlusNormal"/>
            </w:pPr>
          </w:p>
        </w:tc>
        <w:tc>
          <w:tcPr>
            <w:tcW w:w="2610" w:type="dxa"/>
            <w:tcBorders>
              <w:top w:val="nil"/>
              <w:left w:val="nil"/>
              <w:bottom w:val="nil"/>
              <w:right w:val="nil"/>
            </w:tcBorders>
            <w:vAlign w:val="bottom"/>
          </w:tcPr>
          <w:p w:rsidR="00594EA7" w:rsidRDefault="00594EA7" w:rsidP="0032609C">
            <w:pPr>
              <w:pStyle w:val="ConsPlusNormal"/>
              <w:jc w:val="center"/>
            </w:pPr>
            <w:r>
              <w:t>"__" _______ 20__ год</w:t>
            </w:r>
          </w:p>
        </w:tc>
      </w:tr>
      <w:tr w:rsidR="00594EA7" w:rsidTr="0032609C">
        <w:tc>
          <w:tcPr>
            <w:tcW w:w="3085" w:type="dxa"/>
            <w:tcBorders>
              <w:top w:val="nil"/>
              <w:left w:val="nil"/>
              <w:bottom w:val="nil"/>
              <w:right w:val="nil"/>
            </w:tcBorders>
          </w:tcPr>
          <w:p w:rsidR="00594EA7" w:rsidRDefault="00594EA7" w:rsidP="0032609C">
            <w:pPr>
              <w:pStyle w:val="ConsPlusNormal"/>
            </w:pPr>
          </w:p>
        </w:tc>
        <w:tc>
          <w:tcPr>
            <w:tcW w:w="2175" w:type="dxa"/>
            <w:tcBorders>
              <w:top w:val="single" w:sz="4" w:space="0" w:color="auto"/>
              <w:left w:val="nil"/>
              <w:bottom w:val="nil"/>
              <w:right w:val="nil"/>
            </w:tcBorders>
          </w:tcPr>
          <w:p w:rsidR="00594EA7" w:rsidRDefault="00594EA7" w:rsidP="0032609C">
            <w:pPr>
              <w:pStyle w:val="ConsPlusNormal"/>
              <w:jc w:val="center"/>
            </w:pPr>
            <w:r>
              <w:t>(номер контактного телефона)</w:t>
            </w:r>
          </w:p>
        </w:tc>
        <w:tc>
          <w:tcPr>
            <w:tcW w:w="340" w:type="dxa"/>
            <w:tcBorders>
              <w:top w:val="nil"/>
              <w:left w:val="nil"/>
              <w:bottom w:val="nil"/>
              <w:right w:val="nil"/>
            </w:tcBorders>
          </w:tcPr>
          <w:p w:rsidR="00594EA7" w:rsidRDefault="00594EA7" w:rsidP="0032609C">
            <w:pPr>
              <w:pStyle w:val="ConsPlusNormal"/>
            </w:pPr>
          </w:p>
        </w:tc>
        <w:tc>
          <w:tcPr>
            <w:tcW w:w="2267" w:type="dxa"/>
            <w:gridSpan w:val="2"/>
            <w:tcBorders>
              <w:top w:val="nil"/>
              <w:left w:val="nil"/>
              <w:bottom w:val="nil"/>
              <w:right w:val="nil"/>
            </w:tcBorders>
          </w:tcPr>
          <w:p w:rsidR="00594EA7" w:rsidRDefault="00594EA7" w:rsidP="0032609C">
            <w:pPr>
              <w:pStyle w:val="ConsPlusNormal"/>
            </w:pPr>
          </w:p>
        </w:tc>
        <w:tc>
          <w:tcPr>
            <w:tcW w:w="340" w:type="dxa"/>
            <w:tcBorders>
              <w:top w:val="nil"/>
              <w:left w:val="nil"/>
              <w:bottom w:val="nil"/>
              <w:right w:val="nil"/>
            </w:tcBorders>
          </w:tcPr>
          <w:p w:rsidR="00594EA7" w:rsidRDefault="00594EA7" w:rsidP="0032609C">
            <w:pPr>
              <w:pStyle w:val="ConsPlusNormal"/>
            </w:pPr>
          </w:p>
        </w:tc>
        <w:tc>
          <w:tcPr>
            <w:tcW w:w="2610" w:type="dxa"/>
            <w:tcBorders>
              <w:top w:val="nil"/>
              <w:left w:val="nil"/>
              <w:bottom w:val="nil"/>
              <w:right w:val="nil"/>
            </w:tcBorders>
          </w:tcPr>
          <w:p w:rsidR="00594EA7" w:rsidRDefault="00594EA7" w:rsidP="0032609C">
            <w:pPr>
              <w:pStyle w:val="ConsPlusNormal"/>
              <w:jc w:val="center"/>
            </w:pPr>
            <w:r>
              <w:t>(дата составления документа)</w:t>
            </w:r>
          </w:p>
        </w:tc>
      </w:tr>
    </w:tbl>
    <w:p w:rsidR="00594EA7" w:rsidRDefault="00594EA7" w:rsidP="00594EA7">
      <w:pPr>
        <w:sectPr w:rsidR="00594EA7">
          <w:pgSz w:w="16838" w:h="11905" w:orient="landscape"/>
          <w:pgMar w:top="1701" w:right="1134" w:bottom="850" w:left="1134" w:header="0" w:footer="0" w:gutter="0"/>
          <w:cols w:space="720"/>
        </w:sectPr>
      </w:pPr>
    </w:p>
    <w:p w:rsidR="00594EA7" w:rsidRDefault="00594EA7" w:rsidP="00594EA7">
      <w:pPr>
        <w:pStyle w:val="ConsPlusNormal"/>
        <w:jc w:val="both"/>
      </w:pPr>
    </w:p>
    <w:p w:rsidR="00594EA7" w:rsidRDefault="00594EA7" w:rsidP="00594EA7">
      <w:pPr>
        <w:pStyle w:val="ConsPlusNormal"/>
        <w:jc w:val="center"/>
        <w:outlineLvl w:val="1"/>
      </w:pPr>
      <w:r>
        <w:t>Указания</w:t>
      </w:r>
    </w:p>
    <w:p w:rsidR="00594EA7" w:rsidRDefault="00594EA7" w:rsidP="00594EA7">
      <w:pPr>
        <w:pStyle w:val="ConsPlusNormal"/>
        <w:jc w:val="center"/>
      </w:pPr>
      <w:r>
        <w:t>по заполнению формы федерального статистического наблюдения</w:t>
      </w:r>
    </w:p>
    <w:p w:rsidR="00594EA7" w:rsidRDefault="00594EA7" w:rsidP="00594EA7">
      <w:pPr>
        <w:pStyle w:val="ConsPlusNormal"/>
        <w:jc w:val="both"/>
      </w:pPr>
    </w:p>
    <w:p w:rsidR="00594EA7" w:rsidRDefault="00594EA7" w:rsidP="00594EA7">
      <w:pPr>
        <w:pStyle w:val="ConsPlusNormal"/>
        <w:ind w:firstLine="540"/>
        <w:jc w:val="both"/>
      </w:pPr>
      <w:hyperlink w:anchor="P910" w:history="1">
        <w:r>
          <w:rPr>
            <w:color w:val="0000FF"/>
          </w:rPr>
          <w:t>Форму</w:t>
        </w:r>
      </w:hyperlink>
      <w:r>
        <w:t xml:space="preserve"> федерального статистического наблюдения Приложение к форме N 1-МО "Показатели для оценки эффективности деятельности органов местного самоуправления муниципальных, городских округов и муниципальных районов" (далее - форма) предоставляют органы местного самоуправления муниципальных, городских округов и муниципальных районов, наделенные исполнительными полномочиями.</w:t>
      </w:r>
    </w:p>
    <w:p w:rsidR="00594EA7" w:rsidRDefault="00594EA7" w:rsidP="00594EA7">
      <w:pPr>
        <w:pStyle w:val="ConsPlusNormal"/>
        <w:spacing w:before="220"/>
        <w:ind w:firstLine="540"/>
        <w:jc w:val="both"/>
      </w:pPr>
      <w:hyperlink w:anchor="P910" w:history="1">
        <w:proofErr w:type="gramStart"/>
        <w:r>
          <w:rPr>
            <w:color w:val="0000FF"/>
          </w:rPr>
          <w:t>Форма</w:t>
        </w:r>
      </w:hyperlink>
      <w:r>
        <w:t xml:space="preserve"> утверждена в соответствии с </w:t>
      </w:r>
      <w:hyperlink r:id="rId9"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w:t>
      </w:r>
      <w:proofErr w:type="gramEnd"/>
      <w:r>
        <w:t xml:space="preserve"> </w:t>
      </w:r>
      <w:proofErr w:type="gramStart"/>
      <w:r>
        <w:t xml:space="preserve">основных направлениях совершенствования системы государственного управления", а также со </w:t>
      </w:r>
      <w:hyperlink r:id="rId10" w:history="1">
        <w:r>
          <w:rPr>
            <w:color w:val="0000FF"/>
          </w:rPr>
          <w:t>статьей 17</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11" w:history="1">
        <w:r>
          <w:rPr>
            <w:color w:val="0000FF"/>
          </w:rPr>
          <w:t>пунктом 2</w:t>
        </w:r>
      </w:hyperlink>
      <w: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w:t>
      </w:r>
      <w:proofErr w:type="gramEnd"/>
      <w:r>
        <w:t xml:space="preserve"> муниципального образования".</w:t>
      </w:r>
    </w:p>
    <w:p w:rsidR="00594EA7" w:rsidRDefault="00594EA7" w:rsidP="00594EA7">
      <w:pPr>
        <w:pStyle w:val="ConsPlusNormal"/>
        <w:spacing w:before="220"/>
        <w:ind w:firstLine="540"/>
        <w:jc w:val="both"/>
      </w:pPr>
      <w:r>
        <w:t xml:space="preserve">Заполненная </w:t>
      </w:r>
      <w:hyperlink w:anchor="P910" w:history="1">
        <w:r>
          <w:rPr>
            <w:color w:val="0000FF"/>
          </w:rPr>
          <w:t>форма</w:t>
        </w:r>
      </w:hyperlink>
      <w:r>
        <w:t xml:space="preserve"> предоставляется в территориальные органы Росстата по месту фактического осуществления деятельности юридического лица.</w:t>
      </w:r>
    </w:p>
    <w:p w:rsidR="00594EA7" w:rsidRDefault="00594EA7" w:rsidP="00594EA7">
      <w:pPr>
        <w:pStyle w:val="ConsPlusNormal"/>
        <w:spacing w:before="220"/>
        <w:ind w:firstLine="540"/>
        <w:jc w:val="both"/>
      </w:pPr>
      <w:r>
        <w:t xml:space="preserve">По </w:t>
      </w:r>
      <w:hyperlink w:anchor="P930"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rsidR="00594EA7" w:rsidRDefault="00594EA7" w:rsidP="00594EA7">
      <w:pPr>
        <w:pStyle w:val="ConsPlusNormal"/>
        <w:spacing w:before="220"/>
        <w:ind w:firstLine="540"/>
        <w:jc w:val="both"/>
      </w:pPr>
      <w:r>
        <w:t xml:space="preserve">В </w:t>
      </w:r>
      <w:hyperlink w:anchor="P931" w:history="1">
        <w:r>
          <w:rPr>
            <w:color w:val="0000FF"/>
          </w:rPr>
          <w:t>кодовой части</w:t>
        </w:r>
      </w:hyperlink>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w:t>
      </w:r>
    </w:p>
    <w:p w:rsidR="00594EA7" w:rsidRDefault="00594EA7" w:rsidP="00594EA7">
      <w:pPr>
        <w:pStyle w:val="ConsPlusNormal"/>
        <w:spacing w:before="220"/>
        <w:ind w:firstLine="540"/>
        <w:jc w:val="both"/>
      </w:pPr>
      <w:r>
        <w:t xml:space="preserve">В </w:t>
      </w:r>
      <w:hyperlink w:anchor="P938" w:history="1">
        <w:r>
          <w:rPr>
            <w:color w:val="0000FF"/>
          </w:rPr>
          <w:t>графе 3</w:t>
        </w:r>
      </w:hyperlink>
      <w:r>
        <w:t xml:space="preserve"> кодовой части формы титульного листа проставляется код типа муниципального образования: муниципальный район - 13, городской округ - 15, муниципальный округ - 20.</w:t>
      </w:r>
    </w:p>
    <w:p w:rsidR="00594EA7" w:rsidRDefault="00594EA7" w:rsidP="00594EA7">
      <w:pPr>
        <w:pStyle w:val="ConsPlusNormal"/>
        <w:spacing w:before="220"/>
        <w:ind w:firstLine="540"/>
        <w:jc w:val="both"/>
      </w:pPr>
      <w:r>
        <w:t xml:space="preserve">В </w:t>
      </w:r>
      <w:hyperlink w:anchor="P939" w:history="1">
        <w:r>
          <w:rPr>
            <w:color w:val="0000FF"/>
          </w:rPr>
          <w:t>графе 4</w:t>
        </w:r>
      </w:hyperlink>
      <w:r>
        <w:t xml:space="preserve"> кодовой части формы титульного листа проставляется код </w:t>
      </w:r>
      <w:hyperlink r:id="rId12" w:history="1">
        <w:r>
          <w:rPr>
            <w:color w:val="0000FF"/>
          </w:rPr>
          <w:t>ОКТМО</w:t>
        </w:r>
      </w:hyperlink>
      <w:r>
        <w:t xml:space="preserve"> муниципального образования, за которое предоставляется отчет.</w:t>
      </w:r>
    </w:p>
    <w:p w:rsidR="00594EA7" w:rsidRDefault="00594EA7" w:rsidP="00594EA7">
      <w:pPr>
        <w:pStyle w:val="ConsPlusNormal"/>
        <w:spacing w:before="220"/>
        <w:ind w:firstLine="540"/>
        <w:jc w:val="both"/>
      </w:pPr>
      <w:r>
        <w:t xml:space="preserve">В </w:t>
      </w:r>
      <w:hyperlink w:anchor="P953" w:history="1">
        <w:r>
          <w:rPr>
            <w:color w:val="0000FF"/>
          </w:rPr>
          <w:t>строке 1</w:t>
        </w:r>
      </w:hyperlink>
      <w:r>
        <w:t xml:space="preserve"> показатель определяется делением:</w:t>
      </w:r>
    </w:p>
    <w:p w:rsidR="00594EA7" w:rsidRDefault="00594EA7" w:rsidP="00594EA7">
      <w:pPr>
        <w:pStyle w:val="ConsPlusNormal"/>
        <w:spacing w:before="220"/>
        <w:ind w:firstLine="540"/>
        <w:jc w:val="both"/>
      </w:pPr>
      <w:r>
        <w:t>числитель - разница между среднегодовой численностью постоянного населения муниципального, городского округов (муниципального района) и численностью населения, проживающего в населенных пунктах, имеющих регулярное автобусное и (или) железнодорожное сообщение с административным центром муниципального, городского округов (муниципального района). Населенный пункт, находящийся на расстоянии менее 3-х километров от автобусной остановки и (или) железнодорожной станции, относится к обслуживаемому пункту;</w:t>
      </w:r>
    </w:p>
    <w:p w:rsidR="00594EA7" w:rsidRDefault="00594EA7" w:rsidP="00594EA7">
      <w:pPr>
        <w:pStyle w:val="ConsPlusNormal"/>
        <w:spacing w:before="220"/>
        <w:ind w:firstLine="540"/>
        <w:jc w:val="both"/>
      </w:pPr>
      <w:r>
        <w:t>знаменатель - среднегодовая численность постоянного населения муниципального, городского округов (муниципального района);</w:t>
      </w:r>
    </w:p>
    <w:p w:rsidR="00594EA7" w:rsidRDefault="00594EA7" w:rsidP="00594EA7">
      <w:pPr>
        <w:pStyle w:val="ConsPlusNormal"/>
        <w:spacing w:before="220"/>
        <w:ind w:firstLine="540"/>
        <w:jc w:val="both"/>
      </w:pPr>
      <w:r>
        <w:t>результат умножается на 100%.</w:t>
      </w:r>
    </w:p>
    <w:p w:rsidR="00594EA7" w:rsidRDefault="00594EA7" w:rsidP="00594EA7">
      <w:pPr>
        <w:pStyle w:val="ConsPlusNormal"/>
        <w:spacing w:before="220"/>
        <w:ind w:firstLine="540"/>
        <w:jc w:val="both"/>
      </w:pPr>
      <w:r>
        <w:lastRenderedPageBreak/>
        <w:t xml:space="preserve">В </w:t>
      </w:r>
      <w:hyperlink w:anchor="P957" w:history="1">
        <w:r>
          <w:rPr>
            <w:color w:val="0000FF"/>
          </w:rPr>
          <w:t>строке 2</w:t>
        </w:r>
      </w:hyperlink>
      <w:r>
        <w:t xml:space="preserve"> показатель заполняется на основании данных административного учета решений о предоставлении земельных участков - в случае, когда земельные участки предоставлялись без торгов, либо из протоколов о результатах торгов - в случае, когда земельные участки предоставлялись на торгах, и определяется делением:</w:t>
      </w:r>
    </w:p>
    <w:p w:rsidR="00594EA7" w:rsidRDefault="00594EA7" w:rsidP="00594EA7">
      <w:pPr>
        <w:pStyle w:val="ConsPlusNormal"/>
        <w:spacing w:before="220"/>
        <w:ind w:firstLine="540"/>
        <w:jc w:val="both"/>
      </w:pPr>
      <w:r>
        <w:t xml:space="preserve">числитель - площадь всех земельных участков, предоставленных для строительства, </w:t>
      </w:r>
      <w:proofErr w:type="gramStart"/>
      <w:r>
        <w:t>га</w:t>
      </w:r>
      <w:proofErr w:type="gramEnd"/>
      <w:r>
        <w:t>;</w:t>
      </w:r>
    </w:p>
    <w:p w:rsidR="00594EA7" w:rsidRDefault="00594EA7" w:rsidP="00594EA7">
      <w:pPr>
        <w:pStyle w:val="ConsPlusNormal"/>
        <w:spacing w:before="220"/>
        <w:ind w:firstLine="540"/>
        <w:jc w:val="both"/>
      </w:pPr>
      <w:r>
        <w:t>знаменатель - среднегодовая численность населения, человек;</w:t>
      </w:r>
    </w:p>
    <w:p w:rsidR="00594EA7" w:rsidRDefault="00594EA7" w:rsidP="00594EA7">
      <w:pPr>
        <w:pStyle w:val="ConsPlusNormal"/>
        <w:spacing w:before="220"/>
        <w:ind w:firstLine="540"/>
        <w:jc w:val="both"/>
      </w:pPr>
      <w:r>
        <w:t>результат умножается на 10000.</w:t>
      </w:r>
    </w:p>
    <w:p w:rsidR="00594EA7" w:rsidRDefault="00594EA7" w:rsidP="00594EA7">
      <w:pPr>
        <w:pStyle w:val="ConsPlusNormal"/>
        <w:spacing w:before="220"/>
        <w:ind w:firstLine="540"/>
        <w:jc w:val="both"/>
      </w:pPr>
      <w:r>
        <w:t xml:space="preserve">Из </w:t>
      </w:r>
      <w:hyperlink w:anchor="P957" w:history="1">
        <w:r>
          <w:rPr>
            <w:color w:val="0000FF"/>
          </w:rPr>
          <w:t>строки 2</w:t>
        </w:r>
      </w:hyperlink>
      <w:r>
        <w:t xml:space="preserve"> выделяется </w:t>
      </w:r>
      <w:hyperlink w:anchor="P961" w:history="1">
        <w:r>
          <w:rPr>
            <w:color w:val="0000FF"/>
          </w:rPr>
          <w:t>строка 3</w:t>
        </w:r>
      </w:hyperlink>
      <w:r>
        <w:t>:</w:t>
      </w:r>
    </w:p>
    <w:p w:rsidR="00594EA7" w:rsidRDefault="00594EA7" w:rsidP="00594EA7">
      <w:pPr>
        <w:pStyle w:val="ConsPlusNormal"/>
        <w:spacing w:before="220"/>
        <w:ind w:firstLine="540"/>
        <w:jc w:val="both"/>
      </w:pPr>
      <w:r>
        <w:t xml:space="preserve">числитель -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w:t>
      </w:r>
      <w:proofErr w:type="gramStart"/>
      <w:r>
        <w:t>га</w:t>
      </w:r>
      <w:proofErr w:type="gramEnd"/>
      <w:r>
        <w:t>;</w:t>
      </w:r>
    </w:p>
    <w:p w:rsidR="00594EA7" w:rsidRDefault="00594EA7" w:rsidP="00594EA7">
      <w:pPr>
        <w:pStyle w:val="ConsPlusNormal"/>
        <w:spacing w:before="220"/>
        <w:ind w:firstLine="540"/>
        <w:jc w:val="both"/>
      </w:pPr>
      <w:r>
        <w:t>знаменатель - среднегодовая численность населения, человек;</w:t>
      </w:r>
    </w:p>
    <w:p w:rsidR="00594EA7" w:rsidRDefault="00594EA7" w:rsidP="00594EA7">
      <w:pPr>
        <w:pStyle w:val="ConsPlusNormal"/>
        <w:spacing w:before="220"/>
        <w:ind w:firstLine="540"/>
        <w:jc w:val="both"/>
      </w:pPr>
      <w:r>
        <w:t>результат умножается на 10000.</w:t>
      </w:r>
    </w:p>
    <w:p w:rsidR="00594EA7" w:rsidRDefault="00594EA7" w:rsidP="00594EA7">
      <w:pPr>
        <w:pStyle w:val="ConsPlusNormal"/>
        <w:spacing w:before="220"/>
        <w:ind w:firstLine="540"/>
        <w:jc w:val="both"/>
      </w:pPr>
      <w:r>
        <w:t xml:space="preserve">В </w:t>
      </w:r>
      <w:hyperlink w:anchor="P965" w:history="1">
        <w:r>
          <w:rPr>
            <w:color w:val="0000FF"/>
          </w:rPr>
          <w:t>строке 4</w:t>
        </w:r>
      </w:hyperlink>
      <w:r>
        <w:t xml:space="preserve"> показатель определяется делением:</w:t>
      </w:r>
    </w:p>
    <w:p w:rsidR="00594EA7" w:rsidRDefault="00594EA7" w:rsidP="00594EA7">
      <w:pPr>
        <w:pStyle w:val="ConsPlusNormal"/>
        <w:spacing w:before="220"/>
        <w:ind w:firstLine="540"/>
        <w:jc w:val="both"/>
      </w:pPr>
      <w:r>
        <w:t xml:space="preserve">числитель - площадь земельных участков, являющихся объектами налогообложения земельным налогом, </w:t>
      </w:r>
      <w:proofErr w:type="gramStart"/>
      <w:r>
        <w:t>га</w:t>
      </w:r>
      <w:proofErr w:type="gramEnd"/>
      <w:r>
        <w:t>;</w:t>
      </w:r>
    </w:p>
    <w:p w:rsidR="00594EA7" w:rsidRDefault="00594EA7" w:rsidP="00594EA7">
      <w:pPr>
        <w:pStyle w:val="ConsPlusNormal"/>
        <w:spacing w:before="220"/>
        <w:ind w:firstLine="540"/>
        <w:jc w:val="both"/>
      </w:pPr>
      <w:r>
        <w:t xml:space="preserve">знаменатель - общая площадь территории муниципального, городского округов (муниципального района), подлежащая налогообложению в соответствии с действующим законодательством, </w:t>
      </w:r>
      <w:proofErr w:type="gramStart"/>
      <w:r>
        <w:t>га</w:t>
      </w:r>
      <w:proofErr w:type="gramEnd"/>
      <w:r>
        <w:t>;</w:t>
      </w:r>
    </w:p>
    <w:p w:rsidR="00594EA7" w:rsidRDefault="00594EA7" w:rsidP="00594EA7">
      <w:pPr>
        <w:pStyle w:val="ConsPlusNormal"/>
        <w:spacing w:before="220"/>
        <w:ind w:firstLine="540"/>
        <w:jc w:val="both"/>
      </w:pPr>
      <w:r>
        <w:t>результат умножается на 100%.</w:t>
      </w:r>
    </w:p>
    <w:p w:rsidR="00594EA7" w:rsidRDefault="00594EA7" w:rsidP="00594EA7">
      <w:pPr>
        <w:pStyle w:val="ConsPlusNormal"/>
        <w:spacing w:before="220"/>
        <w:ind w:firstLine="540"/>
        <w:jc w:val="both"/>
      </w:pPr>
      <w:hyperlink w:anchor="P969" w:history="1">
        <w:r>
          <w:rPr>
            <w:color w:val="0000FF"/>
          </w:rPr>
          <w:t>Строки 5</w:t>
        </w:r>
      </w:hyperlink>
      <w:r>
        <w:t xml:space="preserve"> и </w:t>
      </w:r>
      <w:hyperlink w:anchor="P974" w:history="1">
        <w:r>
          <w:rPr>
            <w:color w:val="0000FF"/>
          </w:rPr>
          <w:t>6</w:t>
        </w:r>
      </w:hyperlink>
      <w:r>
        <w:t xml:space="preserve"> заполняются на основании данных административного учета. Показывается площадь предоставленных для строительства земельных участков, в отношении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до конца отчетного года:</w:t>
      </w:r>
    </w:p>
    <w:p w:rsidR="00594EA7" w:rsidRDefault="00594EA7" w:rsidP="00594EA7">
      <w:pPr>
        <w:pStyle w:val="ConsPlusNormal"/>
        <w:spacing w:before="220"/>
        <w:ind w:firstLine="540"/>
        <w:jc w:val="both"/>
      </w:pPr>
      <w:r>
        <w:t xml:space="preserve">по </w:t>
      </w:r>
      <w:hyperlink w:anchor="P969" w:history="1">
        <w:r>
          <w:rPr>
            <w:color w:val="0000FF"/>
          </w:rPr>
          <w:t>строке 5</w:t>
        </w:r>
      </w:hyperlink>
      <w:r>
        <w:t xml:space="preserve"> - объектов жилищного строительства - в течение трех и более лет до конца отчетного года;</w:t>
      </w:r>
    </w:p>
    <w:p w:rsidR="00594EA7" w:rsidRDefault="00594EA7" w:rsidP="00594EA7">
      <w:pPr>
        <w:pStyle w:val="ConsPlusNormal"/>
        <w:spacing w:before="220"/>
        <w:ind w:firstLine="540"/>
        <w:jc w:val="both"/>
      </w:pPr>
      <w:r>
        <w:t xml:space="preserve">по </w:t>
      </w:r>
      <w:hyperlink w:anchor="P974" w:history="1">
        <w:r>
          <w:rPr>
            <w:color w:val="0000FF"/>
          </w:rPr>
          <w:t>строке 6</w:t>
        </w:r>
      </w:hyperlink>
      <w:r>
        <w:t xml:space="preserve"> - иных объектов капитального строительства - в течение пяти и более лет до конца отчетного года.</w:t>
      </w:r>
    </w:p>
    <w:p w:rsidR="00594EA7" w:rsidRDefault="00594EA7" w:rsidP="00594EA7">
      <w:pPr>
        <w:pStyle w:val="ConsPlusNormal"/>
        <w:spacing w:before="220"/>
        <w:ind w:firstLine="540"/>
        <w:jc w:val="both"/>
      </w:pPr>
      <w:r>
        <w:t xml:space="preserve">Показатели по </w:t>
      </w:r>
      <w:hyperlink w:anchor="P969" w:history="1">
        <w:r>
          <w:rPr>
            <w:color w:val="0000FF"/>
          </w:rPr>
          <w:t>строкам 5</w:t>
        </w:r>
      </w:hyperlink>
      <w:r>
        <w:t xml:space="preserve"> и </w:t>
      </w:r>
      <w:hyperlink w:anchor="P974" w:history="1">
        <w:r>
          <w:rPr>
            <w:color w:val="0000FF"/>
          </w:rPr>
          <w:t>6</w:t>
        </w:r>
      </w:hyperlink>
      <w:r>
        <w:t xml:space="preserve"> рассчитываются по земельным участкам, решение о предоставлении которых или подписание протокола о результатах торгов </w:t>
      </w:r>
      <w:proofErr w:type="gramStart"/>
      <w:r>
        <w:t>было</w:t>
      </w:r>
      <w:proofErr w:type="gramEnd"/>
      <w:r>
        <w:t xml:space="preserve"> принято начиная с 1 января 2005 года. При этом учитываются земельные участки, по которым выдано разрешение на строительство, и срок введения объекта по которому истек.</w:t>
      </w:r>
    </w:p>
    <w:p w:rsidR="00594EA7" w:rsidRDefault="00594EA7" w:rsidP="00594EA7">
      <w:pPr>
        <w:pStyle w:val="ConsPlusNormal"/>
        <w:spacing w:before="220"/>
        <w:ind w:firstLine="540"/>
        <w:jc w:val="both"/>
      </w:pPr>
      <w:r>
        <w:t>В отношении объектов жилищного строительства учитываются только данные по строительству многоквартирных жилых домов.</w:t>
      </w:r>
    </w:p>
    <w:p w:rsidR="00594EA7" w:rsidRDefault="00594EA7" w:rsidP="00594EA7">
      <w:pPr>
        <w:pStyle w:val="ConsPlusNormal"/>
        <w:spacing w:before="220"/>
        <w:ind w:firstLine="540"/>
        <w:jc w:val="both"/>
      </w:pPr>
      <w:r>
        <w:t xml:space="preserve">В </w:t>
      </w:r>
      <w:hyperlink w:anchor="P978" w:history="1">
        <w:r>
          <w:rPr>
            <w:color w:val="0000FF"/>
          </w:rPr>
          <w:t>строке 7</w:t>
        </w:r>
      </w:hyperlink>
      <w:r>
        <w:t xml:space="preserve"> учитываются объекты, не завершенные строительством в установленные сроки строительства, осуществляемого за счет средств бюджета муниципального, городского округов (муниципального района), по состоянию на конец отчетного года.</w:t>
      </w:r>
    </w:p>
    <w:p w:rsidR="00594EA7" w:rsidRDefault="00594EA7" w:rsidP="00594EA7">
      <w:pPr>
        <w:pStyle w:val="ConsPlusNormal"/>
        <w:spacing w:before="220"/>
        <w:ind w:firstLine="540"/>
        <w:jc w:val="both"/>
      </w:pPr>
      <w:proofErr w:type="gramStart"/>
      <w:r>
        <w:t xml:space="preserve">К объектам, находящимся в незавершенном строительстве, относятся объекты: </w:t>
      </w:r>
      <w:r>
        <w:lastRenderedPageBreak/>
        <w:t>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не включаемые в бухгалтерском учете в состав основных средств объекты, принятые в эксплуатацию на основании актов приемки, на которые отсутствуют необходимые документы, подтверждающие государственную регистрацию объектов недвижимости в установленных законодательством случаях.</w:t>
      </w:r>
      <w:proofErr w:type="gramEnd"/>
    </w:p>
    <w:p w:rsidR="00594EA7" w:rsidRDefault="00594EA7" w:rsidP="00594EA7">
      <w:pPr>
        <w:pStyle w:val="ConsPlusNormal"/>
        <w:spacing w:before="220"/>
        <w:ind w:firstLine="540"/>
        <w:jc w:val="both"/>
      </w:pPr>
      <w:proofErr w:type="gramStart"/>
      <w:r>
        <w:t>Объем незавершенного строительства по этим объектам представляет собой фактически произведенные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за весь период с</w:t>
      </w:r>
      <w:proofErr w:type="gramEnd"/>
      <w:r>
        <w:t xml:space="preserve"> начала строительства этих объектов до конца года.</w:t>
      </w:r>
    </w:p>
    <w:p w:rsidR="00594EA7" w:rsidRDefault="00594EA7" w:rsidP="00594EA7">
      <w:pPr>
        <w:pStyle w:val="ConsPlusNormal"/>
        <w:spacing w:before="220"/>
        <w:ind w:firstLine="540"/>
        <w:jc w:val="both"/>
      </w:pPr>
      <w:hyperlink w:anchor="P982" w:history="1">
        <w:r>
          <w:rPr>
            <w:color w:val="0000FF"/>
          </w:rPr>
          <w:t>Строка 8</w:t>
        </w:r>
      </w:hyperlink>
      <w:r>
        <w:t xml:space="preserve"> заполняется на основании технического паспорта здания (строения), в котором указывается кадастровый номер, если земельный участок, на котором располагается жилой дом, проходил кадастровый учет. Показатель рассчитывается делением:</w:t>
      </w:r>
    </w:p>
    <w:p w:rsidR="00594EA7" w:rsidRDefault="00594EA7" w:rsidP="00594EA7">
      <w:pPr>
        <w:pStyle w:val="ConsPlusNormal"/>
        <w:spacing w:before="220"/>
        <w:ind w:firstLine="540"/>
        <w:jc w:val="both"/>
      </w:pPr>
      <w:r>
        <w:t>числитель - число многоквартирных домов, расположенных на земельных участках, в отношении которых осуществлен государственный кадастровый учет;</w:t>
      </w:r>
    </w:p>
    <w:p w:rsidR="00594EA7" w:rsidRDefault="00594EA7" w:rsidP="00594EA7">
      <w:pPr>
        <w:pStyle w:val="ConsPlusNormal"/>
        <w:spacing w:before="220"/>
        <w:ind w:firstLine="540"/>
        <w:jc w:val="both"/>
      </w:pPr>
      <w:r>
        <w:t>знаменатель - общее число многоквартирных домов (имеющих разрешение на ввод в эксплуатацию);</w:t>
      </w:r>
    </w:p>
    <w:p w:rsidR="00594EA7" w:rsidRDefault="00594EA7" w:rsidP="00594EA7">
      <w:pPr>
        <w:pStyle w:val="ConsPlusNormal"/>
        <w:spacing w:before="220"/>
        <w:ind w:firstLine="540"/>
        <w:jc w:val="both"/>
      </w:pPr>
      <w:r>
        <w:t>результат умножается на 100%.</w:t>
      </w:r>
    </w:p>
    <w:p w:rsidR="00594EA7" w:rsidRDefault="00594EA7" w:rsidP="00594EA7">
      <w:pPr>
        <w:pStyle w:val="ConsPlusNormal"/>
        <w:spacing w:before="220"/>
        <w:ind w:firstLine="540"/>
        <w:jc w:val="both"/>
      </w:pPr>
      <w:r>
        <w:t xml:space="preserve">По </w:t>
      </w:r>
      <w:hyperlink w:anchor="P986" w:history="1">
        <w:r>
          <w:rPr>
            <w:color w:val="0000FF"/>
          </w:rPr>
          <w:t>строке 9</w:t>
        </w:r>
      </w:hyperlink>
      <w:r>
        <w:t xml:space="preserve"> учитываются основные фонды организаций муниципальной формы собственности </w:t>
      </w:r>
      <w:proofErr w:type="gramStart"/>
      <w:r>
        <w:t xml:space="preserve">по полной учетной стоимости на конец года с учетом добровольной переоценки в соответствии с </w:t>
      </w:r>
      <w:hyperlink r:id="rId13" w:history="1">
        <w:r>
          <w:rPr>
            <w:color w:val="0000FF"/>
          </w:rPr>
          <w:t>пунктом</w:t>
        </w:r>
        <w:proofErr w:type="gramEnd"/>
        <w:r>
          <w:rPr>
            <w:color w:val="0000FF"/>
          </w:rPr>
          <w:t xml:space="preserve"> 15</w:t>
        </w:r>
      </w:hyperlink>
      <w:r>
        <w:t xml:space="preserve"> Положения по бухгалтерскому учету "Учет основных средств" ПБУ 6/01.</w:t>
      </w:r>
    </w:p>
    <w:p w:rsidR="00594EA7" w:rsidRDefault="00594EA7" w:rsidP="00594EA7">
      <w:pPr>
        <w:pStyle w:val="ConsPlusNormal"/>
        <w:spacing w:before="220"/>
        <w:ind w:firstLine="540"/>
        <w:jc w:val="both"/>
      </w:pPr>
      <w:r>
        <w:t>Показатель рассчитывается делением:</w:t>
      </w:r>
    </w:p>
    <w:p w:rsidR="00594EA7" w:rsidRDefault="00594EA7" w:rsidP="00594EA7">
      <w:pPr>
        <w:pStyle w:val="ConsPlusNormal"/>
        <w:spacing w:before="220"/>
        <w:ind w:firstLine="540"/>
        <w:jc w:val="both"/>
      </w:pPr>
      <w:r>
        <w:t>числитель - стоимость основных фондов организаций муниципальной формы собственности, находящихся в стадии банкротства (с момента объявления процедуры банкротства), тыс. рублей;</w:t>
      </w:r>
    </w:p>
    <w:p w:rsidR="00594EA7" w:rsidRDefault="00594EA7" w:rsidP="00594EA7">
      <w:pPr>
        <w:pStyle w:val="ConsPlusNormal"/>
        <w:spacing w:before="220"/>
        <w:ind w:firstLine="540"/>
        <w:jc w:val="both"/>
      </w:pPr>
      <w:r>
        <w:t>знаменатель - общая стоимость основных фондов организаций муниципальной формы собственности, тыс. рублей;</w:t>
      </w:r>
    </w:p>
    <w:p w:rsidR="00594EA7" w:rsidRDefault="00594EA7" w:rsidP="00594EA7">
      <w:pPr>
        <w:pStyle w:val="ConsPlusNormal"/>
        <w:spacing w:before="220"/>
        <w:ind w:firstLine="540"/>
        <w:jc w:val="both"/>
      </w:pPr>
      <w:r>
        <w:t>результат умножается на 100%.</w:t>
      </w:r>
    </w:p>
    <w:p w:rsidR="00594EA7" w:rsidRDefault="00594EA7" w:rsidP="00594EA7">
      <w:pPr>
        <w:pStyle w:val="ConsPlusNormal"/>
        <w:spacing w:before="220"/>
        <w:ind w:firstLine="540"/>
        <w:jc w:val="both"/>
      </w:pPr>
      <w:r>
        <w:t xml:space="preserve">В </w:t>
      </w:r>
      <w:hyperlink w:anchor="P994" w:history="1">
        <w:r>
          <w:rPr>
            <w:color w:val="0000FF"/>
          </w:rPr>
          <w:t>строках 10</w:t>
        </w:r>
      </w:hyperlink>
      <w:r>
        <w:t xml:space="preserve">, </w:t>
      </w:r>
      <w:hyperlink w:anchor="P1002" w:history="1">
        <w:r>
          <w:rPr>
            <w:color w:val="0000FF"/>
          </w:rPr>
          <w:t>12</w:t>
        </w:r>
      </w:hyperlink>
      <w:r>
        <w:t xml:space="preserve">, </w:t>
      </w:r>
      <w:hyperlink w:anchor="P1006" w:history="1">
        <w:r>
          <w:rPr>
            <w:color w:val="0000FF"/>
          </w:rPr>
          <w:t>13</w:t>
        </w:r>
      </w:hyperlink>
      <w:r>
        <w:t xml:space="preserve">, </w:t>
      </w:r>
      <w:hyperlink w:anchor="P1010" w:history="1">
        <w:r>
          <w:rPr>
            <w:color w:val="0000FF"/>
          </w:rPr>
          <w:t>14</w:t>
        </w:r>
      </w:hyperlink>
      <w:r>
        <w:t xml:space="preserve"> показатель определяется делением:</w:t>
      </w:r>
    </w:p>
    <w:p w:rsidR="00594EA7" w:rsidRDefault="00594EA7" w:rsidP="00594EA7">
      <w:pPr>
        <w:pStyle w:val="ConsPlusNormal"/>
        <w:spacing w:before="220"/>
        <w:ind w:firstLine="540"/>
        <w:jc w:val="both"/>
      </w:pPr>
      <w:r>
        <w:t>числитель - объем (количество) потребленного соответствующего энергетического ресурса в многоквартирных домах (электрическая энергия, горячая вода, холодная вода, природный газ);</w:t>
      </w:r>
    </w:p>
    <w:p w:rsidR="00594EA7" w:rsidRDefault="00594EA7" w:rsidP="00594EA7">
      <w:pPr>
        <w:pStyle w:val="ConsPlusNormal"/>
        <w:spacing w:before="220"/>
        <w:ind w:firstLine="540"/>
        <w:jc w:val="both"/>
      </w:pPr>
      <w:proofErr w:type="gramStart"/>
      <w:r>
        <w:t>знаменатель - число проживающих в многоквартирных домах муниципального, городского округов (муниципального района), которым отпущен соответствующий энергетический ресурс.</w:t>
      </w:r>
      <w:proofErr w:type="gramEnd"/>
    </w:p>
    <w:p w:rsidR="00594EA7" w:rsidRDefault="00594EA7" w:rsidP="00594EA7">
      <w:pPr>
        <w:pStyle w:val="ConsPlusNormal"/>
        <w:spacing w:before="220"/>
        <w:ind w:firstLine="540"/>
        <w:jc w:val="both"/>
      </w:pPr>
      <w: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жилищном фонде.</w:t>
      </w:r>
    </w:p>
    <w:p w:rsidR="00594EA7" w:rsidRDefault="00594EA7" w:rsidP="00594EA7">
      <w:pPr>
        <w:pStyle w:val="ConsPlusNormal"/>
        <w:spacing w:before="220"/>
        <w:ind w:firstLine="540"/>
        <w:jc w:val="both"/>
      </w:pPr>
      <w:r>
        <w:t xml:space="preserve">Не учитываются в числе проживающих лица, временно выбывшие с данной площади на срок свыше 6 месяцев. К такой категории относятся учащиеся вузов, средних специальных учебных </w:t>
      </w:r>
      <w:r>
        <w:lastRenderedPageBreak/>
        <w:t>заведений, общеобразовательных школ, ПТУ, школ-интернатов, которые в период учебы проживают по месту нахождения учебного заведения (в общежитиях, интернатах при школах), а также призванные на службу и другие. Лица, временно отсутствующие по месту постоянного проживания свыше 6 месяцев по условиям и характеру работы (экипажи судов, работники геологических изыскательных партий, экспедиций и другие), учитываются как постоянно проживающие.</w:t>
      </w:r>
    </w:p>
    <w:p w:rsidR="00594EA7" w:rsidRDefault="00594EA7" w:rsidP="00594EA7">
      <w:pPr>
        <w:pStyle w:val="ConsPlusNormal"/>
        <w:spacing w:before="220"/>
        <w:ind w:firstLine="540"/>
        <w:jc w:val="both"/>
      </w:pPr>
      <w:r>
        <w:t>Не включается в число проживающих численность проживающих в детских домах, пансионатах, интернатах, домах для престарелых, в студенческих общежитиях и общежитиях рабочих и служащих.</w:t>
      </w:r>
    </w:p>
    <w:p w:rsidR="00594EA7" w:rsidRDefault="00594EA7" w:rsidP="00594EA7">
      <w:pPr>
        <w:pStyle w:val="ConsPlusNormal"/>
        <w:spacing w:before="220"/>
        <w:ind w:firstLine="540"/>
        <w:jc w:val="both"/>
      </w:pPr>
      <w:r>
        <w:t xml:space="preserve">В </w:t>
      </w:r>
      <w:hyperlink w:anchor="P998" w:history="1">
        <w:r>
          <w:rPr>
            <w:color w:val="0000FF"/>
          </w:rPr>
          <w:t>строке 11</w:t>
        </w:r>
      </w:hyperlink>
      <w:r>
        <w:t xml:space="preserve"> показатель "Удельная величина потребления тепловой энергии в многоквартирных домах" определяется делением:</w:t>
      </w:r>
    </w:p>
    <w:p w:rsidR="00594EA7" w:rsidRDefault="00594EA7" w:rsidP="00594EA7">
      <w:pPr>
        <w:pStyle w:val="ConsPlusNormal"/>
        <w:spacing w:before="220"/>
        <w:ind w:firstLine="540"/>
        <w:jc w:val="both"/>
      </w:pPr>
      <w:r>
        <w:t>числитель - объем (количество) потребленной тепловой энергии в многоквартирных домах;</w:t>
      </w:r>
    </w:p>
    <w:p w:rsidR="00594EA7" w:rsidRDefault="00594EA7" w:rsidP="00594EA7">
      <w:pPr>
        <w:pStyle w:val="ConsPlusNormal"/>
        <w:spacing w:before="220"/>
        <w:ind w:firstLine="540"/>
        <w:jc w:val="both"/>
      </w:pPr>
      <w:r>
        <w:t>знаменатель - общая площадь жилых помещений в многоквартирных домах муниципального, городского округов (муниципального района).</w:t>
      </w:r>
    </w:p>
    <w:p w:rsidR="00594EA7" w:rsidRDefault="00594EA7" w:rsidP="00594EA7">
      <w:pPr>
        <w:pStyle w:val="ConsPlusNormal"/>
        <w:spacing w:before="220"/>
        <w:ind w:firstLine="540"/>
        <w:jc w:val="both"/>
      </w:pPr>
      <w:r>
        <w:t>Общая площадь жилых помещений в обслуживаемом многоквартирном доме включает площадь всех частей таких помещений, в том числе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94EA7" w:rsidRDefault="00594EA7" w:rsidP="00594EA7">
      <w:pPr>
        <w:pStyle w:val="ConsPlusNormal"/>
        <w:spacing w:before="220"/>
        <w:ind w:firstLine="540"/>
        <w:jc w:val="both"/>
      </w:pPr>
      <w:r>
        <w:t xml:space="preserve">В </w:t>
      </w:r>
      <w:hyperlink w:anchor="P1018" w:history="1">
        <w:r>
          <w:rPr>
            <w:color w:val="0000FF"/>
          </w:rPr>
          <w:t>строках 15</w:t>
        </w:r>
      </w:hyperlink>
      <w:r>
        <w:t xml:space="preserve">, </w:t>
      </w:r>
      <w:hyperlink w:anchor="P1026" w:history="1">
        <w:r>
          <w:rPr>
            <w:color w:val="0000FF"/>
          </w:rPr>
          <w:t>17</w:t>
        </w:r>
      </w:hyperlink>
      <w:r>
        <w:t xml:space="preserve">, </w:t>
      </w:r>
      <w:hyperlink w:anchor="P1030" w:history="1">
        <w:r>
          <w:rPr>
            <w:color w:val="0000FF"/>
          </w:rPr>
          <w:t>18</w:t>
        </w:r>
      </w:hyperlink>
      <w:r>
        <w:t xml:space="preserve">, </w:t>
      </w:r>
      <w:hyperlink w:anchor="P1034" w:history="1">
        <w:r>
          <w:rPr>
            <w:color w:val="0000FF"/>
          </w:rPr>
          <w:t>19</w:t>
        </w:r>
      </w:hyperlink>
      <w:r>
        <w:t xml:space="preserve"> показатель определяется делением:</w:t>
      </w:r>
    </w:p>
    <w:p w:rsidR="00594EA7" w:rsidRDefault="00594EA7" w:rsidP="00594EA7">
      <w:pPr>
        <w:pStyle w:val="ConsPlusNormal"/>
        <w:spacing w:before="220"/>
        <w:ind w:firstLine="540"/>
        <w:jc w:val="both"/>
      </w:pPr>
      <w:proofErr w:type="gramStart"/>
      <w:r>
        <w:t>числитель - объем (количество) потребленного (израсходованного) соответствующего энергетического ресурса муниципальными бюджетными учреждениями (электрическая энергия, горячая вода, холодная вода, природный газ);</w:t>
      </w:r>
      <w:proofErr w:type="gramEnd"/>
    </w:p>
    <w:p w:rsidR="00594EA7" w:rsidRDefault="00594EA7" w:rsidP="00594EA7">
      <w:pPr>
        <w:pStyle w:val="ConsPlusNormal"/>
        <w:spacing w:before="220"/>
        <w:ind w:firstLine="540"/>
        <w:jc w:val="both"/>
      </w:pPr>
      <w:r>
        <w:t>знаменатель - среднегодовая численность постоянного населения муниципального, городского округов (муниципального района).</w:t>
      </w:r>
    </w:p>
    <w:p w:rsidR="00594EA7" w:rsidRDefault="00594EA7" w:rsidP="00594EA7">
      <w:pPr>
        <w:pStyle w:val="ConsPlusNormal"/>
        <w:spacing w:before="220"/>
        <w:ind w:firstLine="540"/>
        <w:jc w:val="both"/>
      </w:pPr>
      <w:r>
        <w:t xml:space="preserve">В </w:t>
      </w:r>
      <w:hyperlink w:anchor="P1022" w:history="1">
        <w:r>
          <w:rPr>
            <w:color w:val="0000FF"/>
          </w:rPr>
          <w:t>строке 16</w:t>
        </w:r>
      </w:hyperlink>
      <w:r>
        <w:t xml:space="preserve"> показатель "Удельная величина потребления тепловой энергии муниципальными бюджетными учреждениями" определяется делением:</w:t>
      </w:r>
    </w:p>
    <w:p w:rsidR="00594EA7" w:rsidRDefault="00594EA7" w:rsidP="00594EA7">
      <w:pPr>
        <w:pStyle w:val="ConsPlusNormal"/>
        <w:spacing w:before="220"/>
        <w:ind w:firstLine="540"/>
        <w:jc w:val="both"/>
      </w:pPr>
      <w:r>
        <w:t>числитель - суммарное количество тепловой энергии, потребленной муниципальными бюджетными учреждениями;</w:t>
      </w:r>
    </w:p>
    <w:p w:rsidR="00594EA7" w:rsidRDefault="00594EA7" w:rsidP="00594EA7">
      <w:pPr>
        <w:pStyle w:val="ConsPlusNormal"/>
        <w:spacing w:before="220"/>
        <w:ind w:firstLine="540"/>
        <w:jc w:val="both"/>
      </w:pPr>
      <w:r>
        <w:t>знаменатель - общая площадь муниципальных бюджетных учреждений муниципального, городского округов (муниципального района).</w:t>
      </w:r>
    </w:p>
    <w:p w:rsidR="00594EA7" w:rsidRDefault="00594EA7" w:rsidP="00594EA7">
      <w:pPr>
        <w:pStyle w:val="ConsPlusNormal"/>
        <w:spacing w:before="220"/>
        <w:ind w:firstLine="540"/>
        <w:jc w:val="both"/>
      </w:pPr>
      <w:r>
        <w:t>Общая площадь муниципальных бюджетных учреждений включает площадь всех частей отапливаемых помещений.</w:t>
      </w:r>
    </w:p>
    <w:p w:rsidR="00594EA7" w:rsidRDefault="00594EA7" w:rsidP="00594EA7">
      <w:pPr>
        <w:pStyle w:val="ConsPlusNormal"/>
        <w:spacing w:before="220"/>
        <w:ind w:firstLine="540"/>
        <w:jc w:val="both"/>
      </w:pPr>
      <w:r>
        <w:t xml:space="preserve">В </w:t>
      </w:r>
      <w:hyperlink w:anchor="P1038" w:history="1">
        <w:r>
          <w:rPr>
            <w:color w:val="0000FF"/>
          </w:rPr>
          <w:t>строке 20</w:t>
        </w:r>
      </w:hyperlink>
      <w:r>
        <w:t xml:space="preserve"> показатель определятся делением:</w:t>
      </w:r>
    </w:p>
    <w:p w:rsidR="00594EA7" w:rsidRDefault="00594EA7" w:rsidP="00594EA7">
      <w:pPr>
        <w:pStyle w:val="ConsPlusNormal"/>
        <w:spacing w:before="220"/>
        <w:ind w:firstLine="540"/>
        <w:jc w:val="both"/>
      </w:pPr>
      <w:r>
        <w:t>числитель - численность населения, получившего жилые помещения и улучшившего жилищные условия в отчетном году (человек);</w:t>
      </w:r>
    </w:p>
    <w:p w:rsidR="00594EA7" w:rsidRDefault="00594EA7" w:rsidP="00594EA7">
      <w:pPr>
        <w:pStyle w:val="ConsPlusNormal"/>
        <w:spacing w:before="220"/>
        <w:ind w:firstLine="540"/>
        <w:jc w:val="both"/>
      </w:pPr>
      <w:r>
        <w:t>знаменатель - общая численность населения, состоящего на учете в качестве нуждающегося в жилых помещениях на конец прошлого года (человек);</w:t>
      </w:r>
    </w:p>
    <w:p w:rsidR="00594EA7" w:rsidRDefault="00594EA7" w:rsidP="00594EA7">
      <w:pPr>
        <w:pStyle w:val="ConsPlusNormal"/>
        <w:spacing w:before="220"/>
        <w:ind w:firstLine="540"/>
        <w:jc w:val="both"/>
      </w:pPr>
      <w:r>
        <w:t>результат умножается на 100%.</w:t>
      </w:r>
    </w:p>
    <w:p w:rsidR="00594EA7" w:rsidRDefault="00594EA7" w:rsidP="00594EA7">
      <w:pPr>
        <w:pStyle w:val="ConsPlusNormal"/>
        <w:spacing w:before="220"/>
        <w:ind w:firstLine="540"/>
        <w:jc w:val="both"/>
      </w:pPr>
      <w:r>
        <w:t xml:space="preserve">В </w:t>
      </w:r>
      <w:hyperlink w:anchor="P1042" w:history="1">
        <w:r>
          <w:rPr>
            <w:color w:val="0000FF"/>
          </w:rPr>
          <w:t>строке 21</w:t>
        </w:r>
      </w:hyperlink>
      <w:r>
        <w:t xml:space="preserve"> наличие в муниципальном, городском округах (муниципальном районе) </w:t>
      </w:r>
      <w:r>
        <w:lastRenderedPageBreak/>
        <w:t>утвержденного генерального плана муниципального, городского округов (схемы территориального планирования муниципального района) обозначается да - 1, нет - 0.</w:t>
      </w:r>
    </w:p>
    <w:p w:rsidR="00594EA7" w:rsidRDefault="00594EA7" w:rsidP="00594EA7">
      <w:pPr>
        <w:pStyle w:val="ConsPlusNormal"/>
        <w:spacing w:before="220"/>
        <w:ind w:firstLine="540"/>
        <w:jc w:val="both"/>
      </w:pPr>
      <w:r>
        <w:t xml:space="preserve">В </w:t>
      </w:r>
      <w:hyperlink w:anchor="P1046" w:history="1">
        <w:r>
          <w:rPr>
            <w:color w:val="0000FF"/>
          </w:rPr>
          <w:t>строке 22</w:t>
        </w:r>
      </w:hyperlink>
      <w:r>
        <w:t xml:space="preserve"> показатель 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 </w:t>
      </w:r>
      <w:proofErr w:type="gramStart"/>
      <w:r>
        <w:t>Данные о расходах на содержание работников органов местного самоуправления соответствуют коду 210 классификации сектора государственного управления ("Расходы на оплату труда, начисления на выплаты по оплате труда") по соответствующим разделам и подразделам классификации расходов, на которые отнесены: расходы на реализацию функций общегосударственного характера (раздел 100 "Общегосударственные вопросы" по подразделам классификации расходов 0102, 0103, 0104, 0106, 0113);</w:t>
      </w:r>
      <w:proofErr w:type="gramEnd"/>
      <w:r>
        <w:t xml:space="preserve"> расходы на руководство и управление в сфере установленных функций по соответствующим указанным функциям разделам и подразделам классификации расходов.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w:t>
      </w:r>
      <w:hyperlink w:anchor="P1046" w:history="1">
        <w:r>
          <w:rPr>
            <w:color w:val="0000FF"/>
          </w:rPr>
          <w:t>показатель</w:t>
        </w:r>
      </w:hyperlink>
      <w:r>
        <w:t xml:space="preserve"> не подлежат.</w:t>
      </w:r>
    </w:p>
    <w:p w:rsidR="00594EA7" w:rsidRDefault="00594EA7" w:rsidP="00594EA7">
      <w:pPr>
        <w:pStyle w:val="ConsPlusNormal"/>
        <w:spacing w:before="220"/>
        <w:ind w:firstLine="540"/>
        <w:jc w:val="both"/>
      </w:pPr>
      <w:r>
        <w:t xml:space="preserve">В </w:t>
      </w:r>
      <w:hyperlink w:anchor="P1050" w:history="1">
        <w:r>
          <w:rPr>
            <w:color w:val="0000FF"/>
          </w:rPr>
          <w:t>строке 23</w:t>
        </w:r>
      </w:hyperlink>
      <w:r>
        <w:t xml:space="preserve"> показатель определяется путем деления объема указанных налоговых и неналоговых доходов на общий объем собственных доходов муниципального образования и умножения на 100. В объем налоговых и неналоговых доходов не включаются безвозмездные поступления.</w:t>
      </w:r>
    </w:p>
    <w:p w:rsidR="00594EA7" w:rsidRDefault="00594EA7" w:rsidP="00594EA7">
      <w:pPr>
        <w:pStyle w:val="ConsPlusNormal"/>
        <w:spacing w:before="220"/>
        <w:ind w:firstLine="540"/>
        <w:jc w:val="both"/>
      </w:pPr>
      <w:r>
        <w:t xml:space="preserve">В </w:t>
      </w:r>
      <w:hyperlink w:anchor="P1054" w:history="1">
        <w:r>
          <w:rPr>
            <w:color w:val="0000FF"/>
          </w:rPr>
          <w:t>строке 24</w:t>
        </w:r>
      </w:hyperlink>
      <w:r>
        <w:t xml:space="preserve"> показатель 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муниципального образования на оплату труда (включая начисления на оплату труда) муниципальных учреждений по состоянию на конец года и умножения на 100. При расчете учитываются все типы муниципальных учреждений: автономные, бюджетные, казенные.</w:t>
      </w:r>
    </w:p>
    <w:p w:rsidR="00594EA7" w:rsidRDefault="00594EA7" w:rsidP="00594EA7">
      <w:pPr>
        <w:pStyle w:val="ConsPlusNormal"/>
        <w:jc w:val="both"/>
      </w:pPr>
    </w:p>
    <w:p w:rsidR="00594EA7" w:rsidRDefault="00594EA7" w:rsidP="00594EA7">
      <w:pPr>
        <w:pStyle w:val="ConsPlusNormal"/>
        <w:jc w:val="center"/>
        <w:outlineLvl w:val="2"/>
      </w:pPr>
      <w:r>
        <w:t>Контроль</w:t>
      </w:r>
    </w:p>
    <w:p w:rsidR="00594EA7" w:rsidRDefault="00594EA7" w:rsidP="00594EA7">
      <w:pPr>
        <w:pStyle w:val="ConsPlusNormal"/>
        <w:jc w:val="center"/>
      </w:pPr>
      <w:r>
        <w:t>строк формы федерального статистического наблюдения</w:t>
      </w:r>
    </w:p>
    <w:p w:rsidR="00594EA7" w:rsidRDefault="00594EA7" w:rsidP="00594EA7">
      <w:pPr>
        <w:pStyle w:val="ConsPlusNormal"/>
        <w:jc w:val="center"/>
      </w:pPr>
      <w:r>
        <w:t>Приложение к форме N 1-МО</w:t>
      </w:r>
    </w:p>
    <w:p w:rsidR="00594EA7" w:rsidRDefault="00594EA7" w:rsidP="00594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594EA7" w:rsidTr="0032609C">
        <w:tc>
          <w:tcPr>
            <w:tcW w:w="4819" w:type="dxa"/>
            <w:tcBorders>
              <w:top w:val="nil"/>
              <w:left w:val="nil"/>
              <w:bottom w:val="nil"/>
              <w:right w:val="nil"/>
            </w:tcBorders>
          </w:tcPr>
          <w:p w:rsidR="00594EA7" w:rsidRDefault="00594EA7" w:rsidP="0032609C">
            <w:pPr>
              <w:pStyle w:val="ConsPlusNormal"/>
              <w:jc w:val="center"/>
            </w:pPr>
            <w:hyperlink w:anchor="P953" w:history="1">
              <w:r>
                <w:rPr>
                  <w:color w:val="0000FF"/>
                </w:rPr>
                <w:t>Стр. 1 гр. 4</w:t>
              </w:r>
            </w:hyperlink>
            <w:r>
              <w:t xml:space="preserve"> &lt;= 100</w:t>
            </w:r>
          </w:p>
          <w:p w:rsidR="00594EA7" w:rsidRDefault="00594EA7" w:rsidP="0032609C">
            <w:pPr>
              <w:pStyle w:val="ConsPlusNormal"/>
              <w:jc w:val="center"/>
            </w:pPr>
            <w:hyperlink w:anchor="P957" w:history="1">
              <w:r>
                <w:rPr>
                  <w:color w:val="0000FF"/>
                </w:rPr>
                <w:t>Стр. 2 гр. 4</w:t>
              </w:r>
            </w:hyperlink>
            <w:r>
              <w:t xml:space="preserve"> &gt;= </w:t>
            </w:r>
            <w:hyperlink w:anchor="P961" w:history="1">
              <w:r>
                <w:rPr>
                  <w:color w:val="0000FF"/>
                </w:rPr>
                <w:t>стр. 3 гр. 4</w:t>
              </w:r>
            </w:hyperlink>
          </w:p>
          <w:p w:rsidR="00594EA7" w:rsidRDefault="00594EA7" w:rsidP="0032609C">
            <w:pPr>
              <w:pStyle w:val="ConsPlusNormal"/>
              <w:jc w:val="center"/>
            </w:pPr>
            <w:hyperlink w:anchor="P965" w:history="1">
              <w:r>
                <w:rPr>
                  <w:color w:val="0000FF"/>
                </w:rPr>
                <w:t>Стр. 4 гр. 4</w:t>
              </w:r>
            </w:hyperlink>
            <w:r>
              <w:t xml:space="preserve"> &lt;= 100</w:t>
            </w:r>
          </w:p>
          <w:p w:rsidR="00594EA7" w:rsidRDefault="00594EA7" w:rsidP="0032609C">
            <w:pPr>
              <w:pStyle w:val="ConsPlusNormal"/>
              <w:jc w:val="center"/>
            </w:pPr>
            <w:hyperlink w:anchor="P982" w:history="1">
              <w:r>
                <w:rPr>
                  <w:color w:val="0000FF"/>
                </w:rPr>
                <w:t>Стр. 8 гр. 4</w:t>
              </w:r>
            </w:hyperlink>
            <w:r>
              <w:t xml:space="preserve"> &lt;= 100</w:t>
            </w:r>
          </w:p>
        </w:tc>
        <w:tc>
          <w:tcPr>
            <w:tcW w:w="4252" w:type="dxa"/>
            <w:tcBorders>
              <w:top w:val="nil"/>
              <w:left w:val="nil"/>
              <w:bottom w:val="nil"/>
              <w:right w:val="nil"/>
            </w:tcBorders>
          </w:tcPr>
          <w:p w:rsidR="00594EA7" w:rsidRDefault="00594EA7" w:rsidP="0032609C">
            <w:pPr>
              <w:pStyle w:val="ConsPlusNormal"/>
              <w:jc w:val="center"/>
            </w:pPr>
            <w:hyperlink w:anchor="P986" w:history="1">
              <w:r>
                <w:rPr>
                  <w:color w:val="0000FF"/>
                </w:rPr>
                <w:t>Стр. 9 гр. 4</w:t>
              </w:r>
            </w:hyperlink>
            <w:r>
              <w:t xml:space="preserve"> &lt;= 100</w:t>
            </w:r>
          </w:p>
          <w:p w:rsidR="00594EA7" w:rsidRDefault="00594EA7" w:rsidP="0032609C">
            <w:pPr>
              <w:pStyle w:val="ConsPlusNormal"/>
              <w:jc w:val="center"/>
            </w:pPr>
            <w:hyperlink w:anchor="P1050" w:history="1">
              <w:r>
                <w:rPr>
                  <w:color w:val="0000FF"/>
                </w:rPr>
                <w:t>Стр. 23 гр. 4</w:t>
              </w:r>
            </w:hyperlink>
            <w:r>
              <w:t xml:space="preserve"> &lt;= 100</w:t>
            </w:r>
          </w:p>
          <w:p w:rsidR="00594EA7" w:rsidRDefault="00594EA7" w:rsidP="0032609C">
            <w:pPr>
              <w:pStyle w:val="ConsPlusNormal"/>
              <w:jc w:val="center"/>
            </w:pPr>
            <w:hyperlink w:anchor="P1054" w:history="1">
              <w:r>
                <w:rPr>
                  <w:color w:val="0000FF"/>
                </w:rPr>
                <w:t>Стр. 24 гр. 4</w:t>
              </w:r>
            </w:hyperlink>
            <w:r>
              <w:t xml:space="preserve"> &lt;= 100</w:t>
            </w:r>
          </w:p>
        </w:tc>
      </w:tr>
    </w:tbl>
    <w:p w:rsidR="00594EA7" w:rsidRDefault="00594EA7" w:rsidP="00594EA7">
      <w:pPr>
        <w:pStyle w:val="ConsPlusNormal"/>
        <w:jc w:val="both"/>
      </w:pPr>
    </w:p>
    <w:p w:rsidR="00594EA7" w:rsidRDefault="00594EA7" w:rsidP="00594EA7">
      <w:pPr>
        <w:pStyle w:val="ConsPlusNormal"/>
        <w:jc w:val="both"/>
      </w:pPr>
    </w:p>
    <w:p w:rsidR="00594EA7" w:rsidRDefault="00594EA7" w:rsidP="00594EA7">
      <w:pPr>
        <w:pStyle w:val="ConsPlusNormal"/>
        <w:pBdr>
          <w:top w:val="single" w:sz="6" w:space="0" w:color="auto"/>
        </w:pBdr>
        <w:spacing w:before="100" w:after="100"/>
        <w:jc w:val="both"/>
        <w:rPr>
          <w:sz w:val="2"/>
          <w:szCs w:val="2"/>
        </w:rPr>
      </w:pPr>
    </w:p>
    <w:p w:rsidR="00594EA7" w:rsidRDefault="00594EA7" w:rsidP="00594EA7"/>
    <w:p w:rsidR="00361BE4" w:rsidRDefault="00361BE4"/>
    <w:sectPr w:rsidR="00361BE4" w:rsidSect="00A709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A7"/>
    <w:rsid w:val="00361BE4"/>
    <w:rsid w:val="0059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EA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EA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2F0AE2277FDA81A2F67C3F615562FBF1EE065FC41EC39609136AB63A3FB7BF446BAD73078CFED1FD3522121cFo6H" TargetMode="External"/><Relationship Id="rId13" Type="http://schemas.openxmlformats.org/officeDocument/2006/relationships/hyperlink" Target="consultantplus://offline/ref=E392F0AE2277FDA81A2F67C3F615562FBF12E969FC41EC39609136AB63A3FB7BE646E2DE392B80A942C052263DF7DA6B2C956FcCo5H" TargetMode="External"/><Relationship Id="rId3" Type="http://schemas.openxmlformats.org/officeDocument/2006/relationships/settings" Target="settings.xml"/><Relationship Id="rId7" Type="http://schemas.openxmlformats.org/officeDocument/2006/relationships/hyperlink" Target="consultantplus://offline/ref=E392F0AE2277FDA81A2F67C3F615562FBF1EE065FC41EC39609136AB63A3FB7BF446BAD73078CFED1FD3522121cFo6H" TargetMode="External"/><Relationship Id="rId12" Type="http://schemas.openxmlformats.org/officeDocument/2006/relationships/hyperlink" Target="consultantplus://offline/ref=E392F0AE2277FDA81A2F67C3F615562FBF1EE065FC41EC39609136AB63A3FB7BF446BAD73078CFED1FD3522121cFo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92F0AE2277FDA81A2F67C3F615562FBD13E869F246EC39609136AB63A3FB7BF446BAD73078CFED1FD3522121cFo6H" TargetMode="External"/><Relationship Id="rId11" Type="http://schemas.openxmlformats.org/officeDocument/2006/relationships/hyperlink" Target="consultantplus://offline/ref=E392F0AE2277FDA81A2F67C3F615562FB818E869F04DB13368C83AA964ACA46CE10FEEDA327FD1EB1C99016576FAD072309565DAEE81AAc1oDH" TargetMode="External"/><Relationship Id="rId5" Type="http://schemas.openxmlformats.org/officeDocument/2006/relationships/hyperlink" Target="consultantplus://offline/ref=E392F0AE2277FDA81A2F67C3F615562FBD13E96CF140EC39609136AB63A3FB7BF446BAD73078CFED1FD3522121cFo6H" TargetMode="External"/><Relationship Id="rId15" Type="http://schemas.openxmlformats.org/officeDocument/2006/relationships/theme" Target="theme/theme1.xml"/><Relationship Id="rId10" Type="http://schemas.openxmlformats.org/officeDocument/2006/relationships/hyperlink" Target="consultantplus://offline/ref=E392F0AE2277FDA81A2F67C3F615562FBD13E96CF741EC39609136AB63A3FB7BE646E2DB327FD0E411C6047067A2DF77298B6DCCF283A81Ec3o6H" TargetMode="External"/><Relationship Id="rId4" Type="http://schemas.openxmlformats.org/officeDocument/2006/relationships/webSettings" Target="webSettings.xml"/><Relationship Id="rId9" Type="http://schemas.openxmlformats.org/officeDocument/2006/relationships/hyperlink" Target="consultantplus://offline/ref=E392F0AE2277FDA81A2F67C3F615562FBD13E969F14EEC39609136AB63A3FB7BF446BAD73078CFED1FD3522121cFo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2021-08-27T07:45:00Z</dcterms:created>
  <dcterms:modified xsi:type="dcterms:W3CDTF">2021-08-27T07:47:00Z</dcterms:modified>
</cp:coreProperties>
</file>